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autoSpaceDE/>
        <w:autoSpaceDN/>
        <w:bidi w:val="0"/>
        <w:adjustRightInd w:val="0"/>
        <w:snapToGrid/>
        <w:spacing w:line="660" w:lineRule="exact"/>
        <w:ind w:firstLine="0"/>
        <w:jc w:val="both"/>
        <w:textAlignment w:val="auto"/>
        <w:rPr>
          <w:rFonts w:ascii="方正小标宋简体" w:hAnsi="宋体" w:eastAsia="方正小标宋简体"/>
          <w:b/>
          <w:bCs/>
          <w:sz w:val="48"/>
          <w:szCs w:val="48"/>
        </w:rPr>
      </w:pPr>
    </w:p>
    <w:p>
      <w:pPr>
        <w:pStyle w:val="2"/>
      </w:pPr>
    </w:p>
    <w:p>
      <w:pPr>
        <w:keepNext w:val="0"/>
        <w:keepLines w:val="0"/>
        <w:pageBreakBefore w:val="0"/>
        <w:widowControl w:val="0"/>
        <w:kinsoku/>
        <w:wordWrap/>
        <w:overflowPunct/>
        <w:topLinePunct/>
        <w:autoSpaceDE/>
        <w:autoSpaceDN/>
        <w:bidi w:val="0"/>
        <w:adjustRightInd w:val="0"/>
        <w:snapToGrid/>
        <w:spacing w:line="660" w:lineRule="exact"/>
        <w:ind w:firstLine="0"/>
        <w:jc w:val="center"/>
        <w:textAlignment w:val="auto"/>
        <w:rPr>
          <w:rFonts w:ascii="华文中宋" w:hAnsi="华文中宋" w:eastAsia="华文中宋"/>
          <w:b w:val="0"/>
          <w:bCs w:val="0"/>
          <w:sz w:val="48"/>
          <w:szCs w:val="48"/>
        </w:rPr>
      </w:pPr>
      <w:r>
        <w:rPr>
          <w:rFonts w:hint="eastAsia" w:ascii="华文中宋" w:hAnsi="华文中宋" w:eastAsia="华文中宋"/>
          <w:b w:val="0"/>
          <w:bCs w:val="0"/>
          <w:sz w:val="48"/>
          <w:szCs w:val="48"/>
        </w:rPr>
        <w:t>河南省驻马店财经学校</w:t>
      </w:r>
    </w:p>
    <w:p>
      <w:pPr>
        <w:keepNext w:val="0"/>
        <w:keepLines w:val="0"/>
        <w:pageBreakBefore w:val="0"/>
        <w:widowControl w:val="0"/>
        <w:kinsoku/>
        <w:wordWrap/>
        <w:overflowPunct/>
        <w:topLinePunct/>
        <w:autoSpaceDE/>
        <w:autoSpaceDN/>
        <w:bidi w:val="0"/>
        <w:adjustRightInd w:val="0"/>
        <w:spacing w:line="660" w:lineRule="exact"/>
        <w:ind w:firstLine="0"/>
        <w:jc w:val="center"/>
        <w:textAlignment w:val="auto"/>
        <w:rPr>
          <w:rFonts w:ascii="华文中宋" w:hAnsi="华文中宋" w:eastAsia="华文中宋"/>
          <w:b w:val="0"/>
          <w:bCs w:val="0"/>
          <w:sz w:val="48"/>
          <w:szCs w:val="48"/>
        </w:rPr>
      </w:pPr>
      <w:r>
        <w:rPr>
          <w:rFonts w:hint="eastAsia" w:ascii="华文中宋" w:hAnsi="华文中宋" w:eastAsia="华文中宋"/>
          <w:b w:val="0"/>
          <w:bCs w:val="0"/>
          <w:sz w:val="48"/>
          <w:szCs w:val="48"/>
        </w:rPr>
        <w:t>大数据技术应用专业人才培养方案</w:t>
      </w:r>
    </w:p>
    <w:p>
      <w:pPr>
        <w:spacing w:line="480" w:lineRule="auto"/>
        <w:rPr>
          <w:rFonts w:ascii="黑体" w:hAnsi="宋体" w:eastAsia="黑体"/>
          <w:b/>
          <w:bCs/>
          <w:sz w:val="52"/>
          <w:szCs w:val="52"/>
        </w:rPr>
      </w:pPr>
    </w:p>
    <w:p>
      <w:pPr>
        <w:spacing w:line="480" w:lineRule="auto"/>
        <w:rPr>
          <w:rFonts w:ascii="黑体" w:hAnsi="宋体" w:eastAsia="黑体"/>
          <w:sz w:val="52"/>
          <w:szCs w:val="52"/>
        </w:rPr>
      </w:pPr>
    </w:p>
    <w:p>
      <w:pPr>
        <w:pStyle w:val="2"/>
        <w:rPr>
          <w:rFonts w:ascii="黑体" w:hAnsi="宋体" w:eastAsia="黑体"/>
          <w:sz w:val="52"/>
          <w:szCs w:val="52"/>
        </w:rPr>
      </w:pPr>
    </w:p>
    <w:p>
      <w:pPr>
        <w:rPr>
          <w:rFonts w:ascii="黑体" w:hAnsi="宋体" w:eastAsia="黑体"/>
          <w:sz w:val="52"/>
          <w:szCs w:val="52"/>
        </w:rPr>
      </w:pPr>
    </w:p>
    <w:p>
      <w:pPr>
        <w:pStyle w:val="2"/>
      </w:pPr>
    </w:p>
    <w:p>
      <w:pPr>
        <w:pStyle w:val="2"/>
      </w:pPr>
    </w:p>
    <w:p>
      <w:pPr>
        <w:pStyle w:val="2"/>
        <w:rPr>
          <w:rFonts w:ascii="黑体" w:hAnsi="宋体" w:eastAsia="黑体"/>
          <w:sz w:val="52"/>
          <w:szCs w:val="52"/>
        </w:rPr>
      </w:pPr>
    </w:p>
    <w:p/>
    <w:p>
      <w:pPr>
        <w:spacing w:line="480" w:lineRule="auto"/>
        <w:rPr>
          <w:rFonts w:ascii="黑体" w:hAnsi="宋体" w:eastAsia="黑体"/>
          <w:sz w:val="52"/>
          <w:szCs w:val="52"/>
        </w:rPr>
      </w:pPr>
    </w:p>
    <w:p>
      <w:pPr>
        <w:pStyle w:val="2"/>
      </w:pPr>
    </w:p>
    <w:p>
      <w:pPr>
        <w:spacing w:line="480" w:lineRule="auto"/>
        <w:rPr>
          <w:rFonts w:ascii="黑体" w:hAnsi="宋体" w:eastAsia="黑体"/>
          <w:sz w:val="52"/>
          <w:szCs w:val="52"/>
        </w:rPr>
      </w:pPr>
    </w:p>
    <w:p>
      <w:pPr>
        <w:keepNext w:val="0"/>
        <w:keepLines w:val="0"/>
        <w:pageBreakBefore w:val="0"/>
        <w:widowControl w:val="0"/>
        <w:kinsoku/>
        <w:wordWrap/>
        <w:overflowPunct/>
        <w:topLinePunct/>
        <w:autoSpaceDE/>
        <w:autoSpaceDN/>
        <w:bidi w:val="0"/>
        <w:adjustRightInd w:val="0"/>
        <w:snapToGrid/>
        <w:spacing w:line="600" w:lineRule="exact"/>
        <w:ind w:firstLine="0"/>
        <w:jc w:val="center"/>
        <w:textAlignment w:val="auto"/>
        <w:rPr>
          <w:rFonts w:ascii="黑体" w:hAnsi="宋体" w:eastAsia="黑体"/>
          <w:sz w:val="36"/>
          <w:szCs w:val="36"/>
        </w:rPr>
      </w:pPr>
      <w:r>
        <w:rPr>
          <w:rFonts w:hint="eastAsia" w:ascii="黑体" w:hAnsi="宋体" w:eastAsia="黑体"/>
          <w:sz w:val="36"/>
          <w:szCs w:val="36"/>
        </w:rPr>
        <w:t>河南省驻马店财经学校</w:t>
      </w:r>
    </w:p>
    <w:p>
      <w:pPr>
        <w:keepNext w:val="0"/>
        <w:keepLines w:val="0"/>
        <w:pageBreakBefore w:val="0"/>
        <w:widowControl w:val="0"/>
        <w:kinsoku/>
        <w:wordWrap/>
        <w:overflowPunct/>
        <w:topLinePunct/>
        <w:autoSpaceDE/>
        <w:autoSpaceDN/>
        <w:bidi w:val="0"/>
        <w:adjustRightInd w:val="0"/>
        <w:snapToGrid/>
        <w:spacing w:line="600" w:lineRule="exact"/>
        <w:ind w:firstLine="0"/>
        <w:jc w:val="center"/>
        <w:textAlignment w:val="auto"/>
        <w:rPr>
          <w:rFonts w:ascii="黑体" w:hAnsi="宋体" w:eastAsia="黑体"/>
          <w:sz w:val="36"/>
          <w:szCs w:val="36"/>
        </w:rPr>
      </w:pPr>
      <w:r>
        <w:rPr>
          <w:rFonts w:hint="eastAsia" w:ascii="黑体" w:hAnsi="宋体" w:eastAsia="黑体"/>
          <w:sz w:val="36"/>
          <w:szCs w:val="36"/>
        </w:rPr>
        <w:t>2023年5月</w:t>
      </w:r>
    </w:p>
    <w:p>
      <w:pPr>
        <w:spacing w:line="480" w:lineRule="auto"/>
        <w:ind w:firstLine="0"/>
        <w:jc w:val="center"/>
        <w:rPr>
          <w:rFonts w:ascii="黑体" w:hAnsi="宋体" w:eastAsia="黑体"/>
          <w:sz w:val="36"/>
          <w:szCs w:val="36"/>
        </w:rPr>
        <w:sectPr>
          <w:headerReference r:id="rId6" w:type="first"/>
          <w:headerReference r:id="rId5" w:type="default"/>
          <w:footerReference r:id="rId7" w:type="default"/>
          <w:footerReference r:id="rId8" w:type="even"/>
          <w:pgSz w:w="11907" w:h="16840"/>
          <w:pgMar w:top="1134" w:right="1134" w:bottom="1134" w:left="1134" w:header="851" w:footer="1247" w:gutter="0"/>
          <w:pgNumType w:start="0"/>
          <w:cols w:space="720" w:num="1"/>
          <w:titlePg/>
          <w:docGrid w:type="linesAndChars" w:linePitch="400" w:charSpace="0"/>
        </w:sectPr>
      </w:pPr>
    </w:p>
    <w:p>
      <w:pPr>
        <w:snapToGrid/>
        <w:spacing w:line="240" w:lineRule="auto"/>
        <w:ind w:left="0" w:leftChars="0" w:firstLine="0" w:firstLineChars="0"/>
        <w:jc w:val="center"/>
        <w:rPr>
          <w:rFonts w:ascii="黑体" w:hAnsi="宋体" w:eastAsia="黑体"/>
          <w:b w:val="0"/>
          <w:bCs w:val="0"/>
          <w:sz w:val="32"/>
          <w:szCs w:val="32"/>
        </w:rPr>
      </w:pPr>
      <w:r>
        <w:rPr>
          <w:rFonts w:hint="eastAsia" w:ascii="黑体" w:hAnsi="黑体" w:eastAsia="黑体" w:cs="黑体"/>
          <w:b w:val="0"/>
          <w:bCs w:val="0"/>
          <w:sz w:val="32"/>
          <w:szCs w:val="32"/>
        </w:rPr>
        <w:t>目    录</w:t>
      </w:r>
    </w:p>
    <w:p>
      <w:pPr>
        <w:snapToGrid/>
        <w:spacing w:line="240" w:lineRule="auto"/>
        <w:jc w:val="center"/>
        <w:rPr>
          <w:rFonts w:ascii="黑体" w:hAnsi="黑体" w:eastAsia="黑体" w:cs="黑体"/>
          <w:b/>
          <w:bCs/>
          <w:sz w:val="32"/>
          <w:szCs w:val="32"/>
        </w:rPr>
      </w:pPr>
    </w:p>
    <w:p>
      <w:pPr>
        <w:pStyle w:val="101"/>
        <w:snapToGrid/>
        <w:spacing w:before="0" w:beforeLines="0" w:after="0" w:afterLines="0" w:line="480" w:lineRule="exact"/>
        <w:ind w:firstLine="0"/>
        <w:jc w:val="both"/>
        <w:rPr>
          <w:rFonts w:ascii="Times New Roman" w:hAnsi="Times New Roman" w:eastAsia="宋体"/>
          <w:b w:val="0"/>
          <w:bCs w:val="0"/>
          <w:sz w:val="24"/>
          <w:szCs w:val="24"/>
        </w:rPr>
      </w:pPr>
      <w:r>
        <w:rPr>
          <w:rFonts w:hint="eastAsia" w:ascii="宋体" w:hAnsi="宋体" w:eastAsia="宋体"/>
          <w:b w:val="0"/>
          <w:bCs w:val="0"/>
          <w:sz w:val="24"/>
          <w:szCs w:val="24"/>
        </w:rPr>
        <w:t>一、专业名称及代码 ………………………………………………………………………</w:t>
      </w:r>
      <w:r>
        <w:rPr>
          <w:rFonts w:ascii="Times New Roman" w:hAnsi="Times New Roman" w:eastAsia="黑体"/>
          <w:b w:val="0"/>
          <w:bCs w:val="0"/>
          <w:sz w:val="24"/>
          <w:szCs w:val="24"/>
        </w:rPr>
        <w:t>（</w:t>
      </w:r>
      <w:r>
        <w:rPr>
          <w:rFonts w:hint="eastAsia" w:ascii="Times New Roman" w:hAnsi="Times New Roman" w:eastAsia="黑体"/>
          <w:b w:val="0"/>
          <w:bCs w:val="0"/>
          <w:sz w:val="24"/>
          <w:szCs w:val="24"/>
        </w:rPr>
        <w:t>2</w:t>
      </w:r>
      <w:r>
        <w:rPr>
          <w:rFonts w:ascii="Times New Roman" w:hAnsi="Times New Roman"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二、入学要求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ascii="Times New Roman" w:hAnsi="Viner Hand ITC"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三、修业年限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ascii="Times New Roman" w:hAnsi="Viner Hand ITC"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四、职业面向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ascii="Times New Roman" w:hAnsi="Viner Hand ITC" w:eastAsia="黑体"/>
          <w:b w:val="0"/>
          <w:bCs w:val="0"/>
          <w:sz w:val="24"/>
          <w:szCs w:val="24"/>
        </w:rPr>
        <w:t>）</w:t>
      </w:r>
    </w:p>
    <w:p>
      <w:pPr>
        <w:pStyle w:val="101"/>
        <w:snapToGrid/>
        <w:spacing w:before="0" w:beforeLines="0" w:after="0" w:afterLines="0" w:line="480" w:lineRule="exact"/>
        <w:ind w:firstLine="0"/>
        <w:jc w:val="both"/>
        <w:rPr>
          <w:rFonts w:ascii="Times New Roman" w:hAnsi="Viner Hand ITC" w:eastAsia="黑体"/>
          <w:b w:val="0"/>
          <w:bCs w:val="0"/>
          <w:sz w:val="24"/>
          <w:szCs w:val="24"/>
        </w:rPr>
      </w:pPr>
      <w:r>
        <w:rPr>
          <w:rFonts w:hint="eastAsia" w:ascii="宋体" w:hAnsi="宋体" w:eastAsia="宋体"/>
          <w:b w:val="0"/>
          <w:bCs w:val="0"/>
          <w:sz w:val="24"/>
          <w:szCs w:val="24"/>
        </w:rPr>
        <w:t>五、培养目标和培养规格 …………………………………………………………………</w:t>
      </w:r>
      <w:r>
        <w:rPr>
          <w:rFonts w:ascii="Times New Roman" w:hAnsi="Viner Hand ITC" w:eastAsia="黑体"/>
          <w:b w:val="0"/>
          <w:bCs w:val="0"/>
          <w:sz w:val="24"/>
          <w:szCs w:val="24"/>
        </w:rPr>
        <w:t>（</w:t>
      </w:r>
      <w:r>
        <w:rPr>
          <w:rFonts w:hint="eastAsia" w:ascii="Times New Roman" w:hAnsi="Viner Hand ITC" w:eastAsia="黑体"/>
          <w:b w:val="0"/>
          <w:bCs w:val="0"/>
          <w:sz w:val="24"/>
          <w:szCs w:val="24"/>
        </w:rPr>
        <w:t>2</w:t>
      </w:r>
      <w:r>
        <w:rPr>
          <w:rFonts w:ascii="Times New Roman" w:hAnsi="Viner Hand ITC"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六、课程设置及要求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4</w:t>
      </w:r>
      <w:r>
        <w:rPr>
          <w:rFonts w:ascii="Times New Roman" w:hAnsi="Viner Hand ITC"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七、教学进程总体安排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1</w:t>
      </w:r>
      <w:r>
        <w:rPr>
          <w:rFonts w:hint="eastAsia" w:ascii="Times New Roman" w:hAnsi="Times New Roman" w:eastAsia="黑体"/>
          <w:b w:val="0"/>
          <w:bCs w:val="0"/>
          <w:sz w:val="24"/>
          <w:szCs w:val="24"/>
          <w:lang w:val="en-US" w:eastAsia="zh-CN"/>
        </w:rPr>
        <w:t>7</w:t>
      </w:r>
      <w:r>
        <w:rPr>
          <w:rFonts w:ascii="Times New Roman" w:hAnsi="Viner Hand ITC"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八、实施保障 ………………………………………………………………………………</w:t>
      </w:r>
      <w:r>
        <w:rPr>
          <w:rFonts w:ascii="Times New Roman" w:hAnsi="Times New Roman" w:eastAsia="黑体"/>
          <w:b w:val="0"/>
          <w:bCs w:val="0"/>
          <w:sz w:val="24"/>
          <w:szCs w:val="24"/>
        </w:rPr>
        <w:t>（</w:t>
      </w:r>
      <w:r>
        <w:rPr>
          <w:rFonts w:hint="eastAsia" w:ascii="Times New Roman" w:hAnsi="Times New Roman" w:eastAsia="黑体"/>
          <w:b w:val="0"/>
          <w:bCs w:val="0"/>
          <w:sz w:val="24"/>
          <w:szCs w:val="24"/>
        </w:rPr>
        <w:t>19</w:t>
      </w:r>
      <w:r>
        <w:rPr>
          <w:rFonts w:ascii="Times New Roman" w:hAnsi="Times New Roman" w:eastAsia="黑体"/>
          <w:b w:val="0"/>
          <w:bCs w:val="0"/>
          <w:sz w:val="24"/>
          <w:szCs w:val="24"/>
        </w:rPr>
        <w:t>）</w:t>
      </w:r>
    </w:p>
    <w:p>
      <w:pPr>
        <w:pStyle w:val="101"/>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 xml:space="preserve">九、毕业要求………………………………………………………………………………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2</w:t>
      </w:r>
      <w:r>
        <w:rPr>
          <w:rFonts w:hint="eastAsia" w:ascii="Times New Roman" w:hAnsi="Times New Roman" w:eastAsia="黑体"/>
          <w:b w:val="0"/>
          <w:bCs w:val="0"/>
          <w:sz w:val="24"/>
          <w:szCs w:val="24"/>
          <w:lang w:val="en-US" w:eastAsia="zh-CN"/>
        </w:rPr>
        <w:t>2</w:t>
      </w:r>
      <w:r>
        <w:rPr>
          <w:rFonts w:ascii="Times New Roman" w:hAnsi="Viner Hand ITC" w:eastAsia="黑体"/>
          <w:b w:val="0"/>
          <w:bCs w:val="0"/>
          <w:sz w:val="24"/>
          <w:szCs w:val="24"/>
        </w:rPr>
        <w:t>）</w:t>
      </w:r>
    </w:p>
    <w:p>
      <w:pPr>
        <w:pStyle w:val="83"/>
        <w:spacing w:before="800" w:beforeLines="200" w:after="800" w:afterLines="200"/>
        <w:rPr>
          <w:u w:val="none"/>
        </w:rPr>
      </w:pPr>
    </w:p>
    <w:p>
      <w:pPr>
        <w:pStyle w:val="83"/>
        <w:spacing w:before="800" w:beforeLines="200" w:after="800" w:afterLines="200"/>
        <w:rPr>
          <w:u w:val="none"/>
        </w:rPr>
      </w:pPr>
    </w:p>
    <w:p>
      <w:pPr>
        <w:pStyle w:val="83"/>
        <w:spacing w:before="800" w:beforeLines="200" w:after="800" w:afterLines="200"/>
        <w:rPr>
          <w:u w:val="none"/>
        </w:rPr>
      </w:pPr>
    </w:p>
    <w:p>
      <w:pPr>
        <w:pStyle w:val="101"/>
        <w:spacing w:before="0" w:beforeLines="0" w:after="0" w:afterLines="0" w:line="700" w:lineRule="exact"/>
        <w:ind w:firstLine="0"/>
        <w:jc w:val="center"/>
        <w:rPr>
          <w:rFonts w:ascii="华文中宋" w:hAnsi="华文中宋" w:eastAsia="华文中宋"/>
          <w:sz w:val="44"/>
          <w:szCs w:val="44"/>
        </w:rPr>
      </w:pPr>
      <w:r>
        <w:rPr>
          <w:rFonts w:ascii="方正小标宋简体" w:eastAsia="方正小标宋简体"/>
          <w:sz w:val="44"/>
          <w:szCs w:val="44"/>
        </w:rPr>
        <w:br w:type="page"/>
      </w:r>
      <w:r>
        <w:rPr>
          <w:rFonts w:hint="eastAsia" w:ascii="华文中宋" w:hAnsi="华文中宋" w:eastAsia="华文中宋"/>
          <w:sz w:val="44"/>
          <w:szCs w:val="44"/>
        </w:rPr>
        <w:t>河南省驻马店财经学校</w:t>
      </w:r>
    </w:p>
    <w:p>
      <w:pPr>
        <w:pStyle w:val="101"/>
        <w:spacing w:before="0" w:beforeLines="0" w:after="0" w:afterLines="0" w:line="700" w:lineRule="exact"/>
        <w:ind w:firstLine="0"/>
        <w:jc w:val="center"/>
        <w:rPr>
          <w:rFonts w:ascii="华文中宋" w:hAnsi="华文中宋" w:eastAsia="华文中宋"/>
          <w:sz w:val="44"/>
          <w:szCs w:val="44"/>
        </w:rPr>
      </w:pPr>
      <w:r>
        <w:rPr>
          <w:rFonts w:hint="eastAsia" w:ascii="华文中宋" w:hAnsi="华文中宋" w:eastAsia="华文中宋"/>
          <w:sz w:val="44"/>
          <w:szCs w:val="44"/>
        </w:rPr>
        <w:t>大数据技术应用专业人才培养方案</w:t>
      </w:r>
    </w:p>
    <w:p>
      <w:pPr>
        <w:pStyle w:val="101"/>
        <w:spacing w:before="0" w:beforeLines="0" w:after="0" w:afterLines="0" w:line="240" w:lineRule="auto"/>
      </w:pPr>
    </w:p>
    <w:p>
      <w:pPr>
        <w:overflowPunct w:val="0"/>
        <w:spacing w:line="240" w:lineRule="auto"/>
        <w:ind w:firstLine="600" w:firstLineChars="200"/>
        <w:rPr>
          <w:rFonts w:eastAsia="黑体"/>
          <w:sz w:val="30"/>
          <w:szCs w:val="30"/>
        </w:rPr>
      </w:pPr>
      <w:r>
        <w:rPr>
          <w:rFonts w:hint="eastAsia" w:ascii="黑体" w:hAnsi="黑体" w:eastAsia="黑体"/>
          <w:sz w:val="30"/>
          <w:szCs w:val="30"/>
        </w:rPr>
        <w:t>一、专业名称及代码</w:t>
      </w:r>
    </w:p>
    <w:p>
      <w:pPr>
        <w:spacing w:line="560" w:lineRule="exact"/>
        <w:ind w:firstLine="1200" w:firstLineChars="400"/>
        <w:rPr>
          <w:sz w:val="28"/>
          <w:szCs w:val="28"/>
        </w:rPr>
      </w:pPr>
      <w:r>
        <w:rPr>
          <w:rFonts w:hint="eastAsia" w:ascii="仿宋" w:hAnsi="仿宋" w:eastAsia="仿宋" w:cs="仿宋"/>
          <w:sz w:val="30"/>
          <w:szCs w:val="30"/>
        </w:rPr>
        <w:t>专业名称：大数据技术应用专业</w:t>
      </w:r>
    </w:p>
    <w:p>
      <w:pPr>
        <w:spacing w:line="560" w:lineRule="exact"/>
        <w:ind w:firstLine="1200" w:firstLineChars="400"/>
        <w:rPr>
          <w:rFonts w:ascii="仿宋" w:hAnsi="仿宋" w:eastAsia="仿宋" w:cs="仿宋"/>
          <w:color w:val="FF0000"/>
          <w:sz w:val="30"/>
          <w:szCs w:val="30"/>
        </w:rPr>
      </w:pPr>
      <w:r>
        <w:rPr>
          <w:rFonts w:hint="eastAsia" w:ascii="仿宋" w:hAnsi="仿宋" w:eastAsia="仿宋" w:cs="仿宋"/>
          <w:sz w:val="30"/>
          <w:szCs w:val="30"/>
        </w:rPr>
        <w:t>专业代码：710205</w:t>
      </w:r>
    </w:p>
    <w:p>
      <w:pPr>
        <w:overflowPunct w:val="0"/>
        <w:spacing w:line="240" w:lineRule="auto"/>
        <w:ind w:firstLine="600" w:firstLineChars="200"/>
        <w:rPr>
          <w:rFonts w:eastAsia="黑体"/>
          <w:sz w:val="30"/>
          <w:szCs w:val="30"/>
        </w:rPr>
      </w:pPr>
      <w:r>
        <w:rPr>
          <w:rFonts w:hint="eastAsia" w:ascii="黑体" w:hAnsi="黑体" w:eastAsia="黑体"/>
          <w:sz w:val="30"/>
          <w:szCs w:val="30"/>
        </w:rPr>
        <w:t>二、入学要求</w:t>
      </w:r>
    </w:p>
    <w:p>
      <w:pPr>
        <w:spacing w:line="560" w:lineRule="exact"/>
        <w:ind w:firstLine="1200" w:firstLineChars="400"/>
        <w:rPr>
          <w:rFonts w:ascii="仿宋" w:hAnsi="仿宋" w:eastAsia="仿宋" w:cs="仿宋"/>
          <w:sz w:val="30"/>
          <w:szCs w:val="30"/>
        </w:rPr>
      </w:pPr>
      <w:r>
        <w:rPr>
          <w:rFonts w:hint="eastAsia" w:ascii="仿宋" w:hAnsi="仿宋" w:eastAsia="仿宋" w:cs="仿宋"/>
          <w:sz w:val="30"/>
          <w:szCs w:val="30"/>
        </w:rPr>
        <w:t>初中毕业或具有同等学力者</w:t>
      </w:r>
    </w:p>
    <w:p>
      <w:pPr>
        <w:overflowPunct w:val="0"/>
        <w:spacing w:line="240" w:lineRule="auto"/>
        <w:ind w:firstLine="600" w:firstLineChars="200"/>
        <w:rPr>
          <w:rFonts w:eastAsia="黑体"/>
          <w:sz w:val="30"/>
          <w:szCs w:val="30"/>
        </w:rPr>
      </w:pPr>
      <w:r>
        <w:rPr>
          <w:rFonts w:hint="eastAsia" w:ascii="黑体" w:hAnsi="黑体" w:eastAsia="黑体"/>
          <w:sz w:val="30"/>
          <w:szCs w:val="30"/>
        </w:rPr>
        <w:t>三、修业年限</w:t>
      </w:r>
    </w:p>
    <w:p>
      <w:pPr>
        <w:spacing w:line="560" w:lineRule="exact"/>
        <w:ind w:firstLine="1200" w:firstLineChars="400"/>
        <w:rPr>
          <w:rFonts w:ascii="仿宋" w:hAnsi="仿宋" w:eastAsia="仿宋" w:cs="仿宋"/>
          <w:sz w:val="30"/>
          <w:szCs w:val="30"/>
        </w:rPr>
      </w:pPr>
      <w:r>
        <w:rPr>
          <w:rFonts w:hint="eastAsia" w:ascii="仿宋" w:hAnsi="仿宋" w:eastAsia="仿宋" w:cs="仿宋"/>
          <w:sz w:val="30"/>
          <w:szCs w:val="30"/>
        </w:rPr>
        <w:t>基本学制3年</w:t>
      </w:r>
    </w:p>
    <w:p>
      <w:pPr>
        <w:overflowPunct w:val="0"/>
        <w:spacing w:line="240" w:lineRule="auto"/>
        <w:ind w:firstLine="600" w:firstLineChars="200"/>
        <w:rPr>
          <w:rFonts w:eastAsia="黑体"/>
          <w:sz w:val="30"/>
          <w:szCs w:val="30"/>
        </w:rPr>
      </w:pPr>
      <w:r>
        <w:rPr>
          <w:rFonts w:hint="eastAsia" w:ascii="黑体" w:hAnsi="黑体" w:eastAsia="黑体"/>
          <w:sz w:val="30"/>
          <w:szCs w:val="30"/>
        </w:rPr>
        <w:t>四、职业面向</w:t>
      </w:r>
    </w:p>
    <w:p>
      <w:pPr>
        <w:pStyle w:val="128"/>
        <w:shd w:val="clear" w:color="auto" w:fill="auto"/>
        <w:spacing w:line="180" w:lineRule="exact"/>
        <w:ind w:right="120"/>
        <w:jc w:val="center"/>
        <w:rPr>
          <w:rFonts w:ascii="仿宋" w:hAnsi="仿宋" w:eastAsia="仿宋" w:cs="Times New Roman"/>
          <w:b w:val="0"/>
          <w:bCs w:val="0"/>
          <w:color w:val="000000"/>
          <w:spacing w:val="0"/>
          <w:sz w:val="24"/>
          <w:szCs w:val="24"/>
          <w:lang w:val="zh-TW" w:bidi="zh-TW"/>
        </w:rPr>
      </w:pPr>
    </w:p>
    <w:tbl>
      <w:tblPr>
        <w:tblStyle w:val="19"/>
        <w:tblpPr w:leftFromText="180" w:rightFromText="180" w:vertAnchor="text" w:horzAnchor="page" w:tblpX="1124" w:tblpY="184"/>
        <w:tblOverlap w:val="never"/>
        <w:tblW w:w="9658" w:type="dxa"/>
        <w:tblInd w:w="0" w:type="dxa"/>
        <w:tblLayout w:type="fixed"/>
        <w:tblCellMar>
          <w:top w:w="0" w:type="dxa"/>
          <w:left w:w="10" w:type="dxa"/>
          <w:bottom w:w="0" w:type="dxa"/>
          <w:right w:w="10" w:type="dxa"/>
        </w:tblCellMar>
      </w:tblPr>
      <w:tblGrid>
        <w:gridCol w:w="670"/>
        <w:gridCol w:w="2438"/>
        <w:gridCol w:w="4005"/>
        <w:gridCol w:w="2545"/>
      </w:tblGrid>
      <w:tr>
        <w:tblPrEx>
          <w:tblCellMar>
            <w:top w:w="0" w:type="dxa"/>
            <w:left w:w="10" w:type="dxa"/>
            <w:bottom w:w="0" w:type="dxa"/>
            <w:right w:w="10" w:type="dxa"/>
          </w:tblCellMar>
        </w:tblPrEx>
        <w:trPr>
          <w:trHeight w:val="573" w:hRule="exact"/>
        </w:trPr>
        <w:tc>
          <w:tcPr>
            <w:tcW w:w="670" w:type="dxa"/>
            <w:tcBorders>
              <w:top w:val="single" w:color="auto" w:sz="4" w:space="0"/>
              <w:left w:val="single" w:color="auto" w:sz="4" w:space="0"/>
            </w:tcBorders>
            <w:shd w:val="clear" w:color="auto" w:fill="FFFFFF"/>
            <w:vAlign w:val="center"/>
          </w:tcPr>
          <w:p>
            <w:pPr>
              <w:pStyle w:val="126"/>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序号</w:t>
            </w:r>
          </w:p>
        </w:tc>
        <w:tc>
          <w:tcPr>
            <w:tcW w:w="2438" w:type="dxa"/>
            <w:tcBorders>
              <w:top w:val="single" w:color="auto" w:sz="4" w:space="0"/>
              <w:left w:val="single" w:color="auto" w:sz="4" w:space="0"/>
            </w:tcBorders>
            <w:shd w:val="clear" w:color="auto" w:fill="FFFFFF"/>
            <w:vAlign w:val="center"/>
          </w:tcPr>
          <w:p>
            <w:pPr>
              <w:pStyle w:val="126"/>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专业化方向</w:t>
            </w:r>
          </w:p>
        </w:tc>
        <w:tc>
          <w:tcPr>
            <w:tcW w:w="4005" w:type="dxa"/>
            <w:tcBorders>
              <w:top w:val="single" w:color="auto" w:sz="4" w:space="0"/>
              <w:left w:val="single" w:color="auto" w:sz="4" w:space="0"/>
            </w:tcBorders>
            <w:shd w:val="clear" w:color="auto" w:fill="FFFFFF"/>
            <w:vAlign w:val="center"/>
          </w:tcPr>
          <w:p>
            <w:pPr>
              <w:pStyle w:val="126"/>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就业岗位</w:t>
            </w:r>
          </w:p>
        </w:tc>
        <w:tc>
          <w:tcPr>
            <w:tcW w:w="2545" w:type="dxa"/>
            <w:tcBorders>
              <w:top w:val="single" w:color="auto" w:sz="4" w:space="0"/>
              <w:left w:val="single" w:color="auto" w:sz="4" w:space="0"/>
              <w:right w:val="single" w:color="auto" w:sz="4" w:space="0"/>
            </w:tcBorders>
            <w:shd w:val="clear" w:color="auto" w:fill="FFFFFF"/>
            <w:vAlign w:val="center"/>
          </w:tcPr>
          <w:p>
            <w:pPr>
              <w:pStyle w:val="126"/>
              <w:shd w:val="clear" w:color="auto" w:fill="auto"/>
              <w:spacing w:before="0" w:after="0" w:line="480" w:lineRule="exact"/>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职业资格证书</w:t>
            </w:r>
          </w:p>
        </w:tc>
      </w:tr>
      <w:tr>
        <w:tblPrEx>
          <w:tblCellMar>
            <w:top w:w="0" w:type="dxa"/>
            <w:left w:w="10" w:type="dxa"/>
            <w:bottom w:w="0" w:type="dxa"/>
            <w:right w:w="10" w:type="dxa"/>
          </w:tblCellMar>
        </w:tblPrEx>
        <w:trPr>
          <w:trHeight w:val="1210" w:hRule="exact"/>
        </w:trPr>
        <w:tc>
          <w:tcPr>
            <w:tcW w:w="670" w:type="dxa"/>
            <w:tcBorders>
              <w:top w:val="single" w:color="auto" w:sz="4" w:space="0"/>
              <w:left w:val="single" w:color="auto" w:sz="4" w:space="0"/>
            </w:tcBorders>
            <w:shd w:val="clear" w:color="auto" w:fill="FFFFFF"/>
            <w:vAlign w:val="center"/>
          </w:tcPr>
          <w:p>
            <w:pPr>
              <w:pStyle w:val="126"/>
              <w:shd w:val="clear" w:color="auto" w:fill="auto"/>
              <w:spacing w:before="0" w:after="0" w:line="480" w:lineRule="exact"/>
              <w:ind w:left="260"/>
              <w:jc w:val="both"/>
              <w:rPr>
                <w:rFonts w:ascii="仿宋" w:hAnsi="仿宋" w:eastAsia="仿宋" w:cs="仿宋"/>
                <w:color w:val="000000"/>
                <w:spacing w:val="0"/>
                <w:sz w:val="24"/>
                <w:szCs w:val="24"/>
                <w:lang w:val="zh-TW" w:eastAsia="zh-TW" w:bidi="zh-TW"/>
              </w:rPr>
            </w:pPr>
            <w:r>
              <w:rPr>
                <w:rFonts w:hint="eastAsia" w:ascii="仿宋" w:hAnsi="仿宋" w:eastAsia="仿宋" w:cs="仿宋"/>
                <w:spacing w:val="0"/>
                <w:sz w:val="24"/>
                <w:szCs w:val="24"/>
              </w:rPr>
              <w:t>1</w:t>
            </w:r>
          </w:p>
        </w:tc>
        <w:tc>
          <w:tcPr>
            <w:tcW w:w="2438" w:type="dxa"/>
            <w:tcBorders>
              <w:top w:val="single" w:color="auto" w:sz="4" w:space="0"/>
              <w:left w:val="single" w:color="auto" w:sz="4" w:space="0"/>
            </w:tcBorders>
            <w:shd w:val="clear" w:color="auto" w:fill="FFFFFF"/>
            <w:vAlign w:val="center"/>
          </w:tcPr>
          <w:p>
            <w:pPr>
              <w:pStyle w:val="126"/>
              <w:shd w:val="clear" w:color="auto" w:fill="auto"/>
              <w:spacing w:before="0" w:after="0" w:line="480" w:lineRule="exact"/>
              <w:jc w:val="center"/>
              <w:rPr>
                <w:rFonts w:ascii="仿宋" w:hAnsi="仿宋" w:eastAsia="仿宋" w:cs="仿宋"/>
                <w:color w:val="000000"/>
                <w:spacing w:val="0"/>
                <w:sz w:val="24"/>
                <w:szCs w:val="24"/>
                <w:lang w:val="zh-TW" w:eastAsia="zh-TW" w:bidi="zh-TW"/>
              </w:rPr>
            </w:pPr>
            <w:r>
              <w:rPr>
                <w:rFonts w:hint="eastAsia" w:ascii="仿宋" w:hAnsi="仿宋" w:eastAsia="仿宋" w:cs="仿宋"/>
                <w:color w:val="000000"/>
                <w:spacing w:val="0"/>
                <w:sz w:val="24"/>
                <w:szCs w:val="24"/>
                <w:lang w:val="zh-TW" w:eastAsia="zh-TW" w:bidi="zh-TW"/>
              </w:rPr>
              <w:t>软件与信息技术服务业</w:t>
            </w:r>
          </w:p>
        </w:tc>
        <w:tc>
          <w:tcPr>
            <w:tcW w:w="4005" w:type="dxa"/>
            <w:tcBorders>
              <w:top w:val="single" w:color="auto" w:sz="4" w:space="0"/>
              <w:left w:val="single" w:color="auto" w:sz="4" w:space="0"/>
            </w:tcBorders>
            <w:shd w:val="clear" w:color="auto" w:fill="FFFFFF"/>
            <w:vAlign w:val="center"/>
          </w:tcPr>
          <w:p>
            <w:pPr>
              <w:pStyle w:val="126"/>
              <w:shd w:val="clear" w:color="auto" w:fill="auto"/>
              <w:spacing w:before="0" w:after="0" w:line="480" w:lineRule="exact"/>
              <w:jc w:val="center"/>
              <w:rPr>
                <w:rFonts w:ascii="仿宋" w:hAnsi="仿宋" w:eastAsia="仿宋" w:cs="仿宋"/>
                <w:color w:val="000000"/>
                <w:spacing w:val="0"/>
                <w:sz w:val="24"/>
                <w:szCs w:val="24"/>
                <w:lang w:val="zh-TW" w:eastAsia="zh-TW" w:bidi="zh-TW"/>
              </w:rPr>
            </w:pPr>
            <w:r>
              <w:rPr>
                <w:rFonts w:hint="eastAsia" w:ascii="仿宋" w:hAnsi="仿宋" w:eastAsia="仿宋" w:cs="仿宋"/>
                <w:color w:val="000000"/>
                <w:spacing w:val="0"/>
                <w:sz w:val="24"/>
                <w:szCs w:val="24"/>
                <w:lang w:val="zh-TW" w:eastAsia="zh-TW" w:bidi="zh-TW"/>
              </w:rPr>
              <w:t>数据采集与处理</w:t>
            </w:r>
            <w:r>
              <w:rPr>
                <w:rFonts w:hint="eastAsia" w:ascii="仿宋" w:hAnsi="仿宋" w:eastAsia="仿宋" w:cs="仿宋"/>
                <w:color w:val="000000"/>
                <w:spacing w:val="0"/>
                <w:sz w:val="24"/>
                <w:szCs w:val="24"/>
                <w:lang w:val="zh-TW" w:bidi="zh-TW"/>
              </w:rPr>
              <w:t>、</w:t>
            </w:r>
            <w:r>
              <w:rPr>
                <w:rFonts w:hint="eastAsia" w:ascii="仿宋" w:hAnsi="仿宋" w:eastAsia="仿宋" w:cs="仿宋"/>
                <w:color w:val="000000"/>
                <w:spacing w:val="0"/>
                <w:sz w:val="24"/>
                <w:szCs w:val="24"/>
                <w:lang w:val="zh-TW" w:eastAsia="zh-TW" w:bidi="zh-TW"/>
              </w:rPr>
              <w:t>算法模型训练与测试</w:t>
            </w:r>
          </w:p>
        </w:tc>
        <w:tc>
          <w:tcPr>
            <w:tcW w:w="2545" w:type="dxa"/>
            <w:tcBorders>
              <w:top w:val="single" w:color="auto" w:sz="4" w:space="0"/>
              <w:left w:val="single" w:color="auto" w:sz="4" w:space="0"/>
              <w:right w:val="single" w:color="auto" w:sz="4" w:space="0"/>
            </w:tcBorders>
            <w:shd w:val="clear" w:color="auto" w:fill="FFFFFF"/>
            <w:vAlign w:val="center"/>
          </w:tcPr>
          <w:p>
            <w:pPr>
              <w:pStyle w:val="126"/>
              <w:shd w:val="clear" w:color="auto" w:fill="auto"/>
              <w:spacing w:before="0" w:after="0" w:line="480" w:lineRule="exact"/>
              <w:jc w:val="center"/>
              <w:rPr>
                <w:rFonts w:ascii="仿宋" w:hAnsi="仿宋" w:eastAsia="仿宋" w:cs="仿宋"/>
                <w:color w:val="000000"/>
                <w:spacing w:val="0"/>
                <w:sz w:val="24"/>
                <w:szCs w:val="24"/>
                <w:lang w:val="zh-TW" w:eastAsia="zh-TW" w:bidi="zh-TW"/>
              </w:rPr>
            </w:pPr>
            <w:r>
              <w:rPr>
                <w:rFonts w:hint="eastAsia" w:ascii="仿宋" w:hAnsi="仿宋" w:eastAsia="仿宋" w:cs="仿宋"/>
                <w:color w:val="000000"/>
                <w:spacing w:val="0"/>
                <w:sz w:val="24"/>
                <w:szCs w:val="24"/>
                <w:lang w:val="zh-TW" w:eastAsia="zh-TW" w:bidi="zh-TW"/>
              </w:rPr>
              <w:t>计算机技术与软件专业技术资格</w:t>
            </w:r>
            <w:r>
              <w:rPr>
                <w:rFonts w:hint="eastAsia" w:ascii="仿宋" w:hAnsi="仿宋" w:eastAsia="仿宋" w:cs="仿宋"/>
                <w:spacing w:val="0"/>
                <w:sz w:val="24"/>
                <w:szCs w:val="24"/>
              </w:rPr>
              <w:t>证</w:t>
            </w:r>
          </w:p>
        </w:tc>
      </w:tr>
      <w:tr>
        <w:tblPrEx>
          <w:tblCellMar>
            <w:top w:w="0" w:type="dxa"/>
            <w:left w:w="10" w:type="dxa"/>
            <w:bottom w:w="0" w:type="dxa"/>
            <w:right w:w="10" w:type="dxa"/>
          </w:tblCellMar>
        </w:tblPrEx>
        <w:trPr>
          <w:trHeight w:val="1110" w:hRule="exact"/>
        </w:trPr>
        <w:tc>
          <w:tcPr>
            <w:tcW w:w="670" w:type="dxa"/>
            <w:tcBorders>
              <w:top w:val="single" w:color="auto" w:sz="4" w:space="0"/>
              <w:left w:val="single" w:color="auto" w:sz="4" w:space="0"/>
              <w:bottom w:val="single" w:color="auto" w:sz="4" w:space="0"/>
            </w:tcBorders>
            <w:shd w:val="clear" w:color="auto" w:fill="FFFFFF"/>
            <w:vAlign w:val="center"/>
          </w:tcPr>
          <w:p>
            <w:pPr>
              <w:pStyle w:val="126"/>
              <w:shd w:val="clear" w:color="auto" w:fill="auto"/>
              <w:spacing w:before="0" w:after="0" w:line="480" w:lineRule="exact"/>
              <w:ind w:left="260"/>
              <w:jc w:val="both"/>
              <w:rPr>
                <w:rFonts w:ascii="仿宋" w:hAnsi="仿宋" w:eastAsia="仿宋" w:cs="仿宋"/>
                <w:color w:val="000000"/>
                <w:spacing w:val="0"/>
                <w:sz w:val="24"/>
                <w:szCs w:val="24"/>
                <w:lang w:val="zh-TW" w:eastAsia="zh-TW" w:bidi="zh-TW"/>
              </w:rPr>
            </w:pPr>
            <w:r>
              <w:rPr>
                <w:rFonts w:hint="eastAsia" w:ascii="仿宋" w:hAnsi="仿宋" w:eastAsia="仿宋" w:cs="仿宋"/>
                <w:spacing w:val="0"/>
                <w:sz w:val="24"/>
                <w:szCs w:val="24"/>
              </w:rPr>
              <w:t>2</w:t>
            </w:r>
          </w:p>
        </w:tc>
        <w:tc>
          <w:tcPr>
            <w:tcW w:w="2438" w:type="dxa"/>
            <w:tcBorders>
              <w:top w:val="single" w:color="auto" w:sz="4" w:space="0"/>
              <w:left w:val="single" w:color="auto" w:sz="4" w:space="0"/>
              <w:bottom w:val="single" w:color="auto" w:sz="4" w:space="0"/>
            </w:tcBorders>
            <w:shd w:val="clear" w:color="auto" w:fill="FFFFFF"/>
            <w:vAlign w:val="center"/>
          </w:tcPr>
          <w:p>
            <w:pPr>
              <w:pStyle w:val="126"/>
              <w:shd w:val="clear" w:color="auto" w:fill="auto"/>
              <w:spacing w:before="0" w:after="0" w:line="480" w:lineRule="exact"/>
              <w:ind w:left="240"/>
              <w:jc w:val="center"/>
              <w:rPr>
                <w:rFonts w:ascii="仿宋" w:hAnsi="仿宋" w:eastAsia="仿宋" w:cs="仿宋"/>
                <w:color w:val="000000"/>
                <w:spacing w:val="0"/>
                <w:sz w:val="24"/>
                <w:szCs w:val="24"/>
                <w:lang w:val="zh-TW" w:eastAsia="zh-TW" w:bidi="zh-TW"/>
              </w:rPr>
            </w:pPr>
            <w:r>
              <w:rPr>
                <w:rFonts w:hint="eastAsia" w:ascii="仿宋" w:hAnsi="仿宋" w:eastAsia="仿宋" w:cs="仿宋"/>
                <w:color w:val="000000"/>
                <w:spacing w:val="0"/>
                <w:sz w:val="24"/>
                <w:szCs w:val="24"/>
                <w:lang w:val="zh-TW" w:eastAsia="zh-TW" w:bidi="zh-TW"/>
              </w:rPr>
              <w:t>互联网和相关服务</w:t>
            </w:r>
          </w:p>
        </w:tc>
        <w:tc>
          <w:tcPr>
            <w:tcW w:w="4005" w:type="dxa"/>
            <w:tcBorders>
              <w:top w:val="single" w:color="auto" w:sz="4" w:space="0"/>
              <w:left w:val="single" w:color="auto" w:sz="4" w:space="0"/>
              <w:bottom w:val="single" w:color="auto" w:sz="4" w:space="0"/>
            </w:tcBorders>
            <w:shd w:val="clear" w:color="auto" w:fill="FFFFFF"/>
            <w:vAlign w:val="center"/>
          </w:tcPr>
          <w:p>
            <w:pPr>
              <w:pStyle w:val="126"/>
              <w:shd w:val="clear" w:color="auto" w:fill="auto"/>
              <w:spacing w:before="0" w:after="0" w:line="480" w:lineRule="exact"/>
              <w:jc w:val="center"/>
              <w:rPr>
                <w:rFonts w:ascii="仿宋" w:hAnsi="仿宋" w:eastAsia="仿宋" w:cs="仿宋"/>
                <w:color w:val="000000"/>
                <w:spacing w:val="0"/>
                <w:sz w:val="24"/>
                <w:szCs w:val="24"/>
                <w:lang w:val="zh-TW" w:eastAsia="zh-TW" w:bidi="zh-TW"/>
              </w:rPr>
            </w:pPr>
            <w:r>
              <w:rPr>
                <w:rFonts w:hint="eastAsia" w:ascii="仿宋" w:hAnsi="仿宋" w:eastAsia="仿宋" w:cs="仿宋"/>
                <w:color w:val="000000"/>
                <w:spacing w:val="0"/>
                <w:sz w:val="24"/>
                <w:szCs w:val="24"/>
                <w:lang w:val="zh-TW" w:bidi="zh-TW"/>
              </w:rPr>
              <w:t>前端页面开发、</w:t>
            </w:r>
            <w:r>
              <w:rPr>
                <w:rFonts w:hint="eastAsia" w:ascii="仿宋" w:hAnsi="仿宋" w:eastAsia="仿宋" w:cs="仿宋"/>
                <w:sz w:val="24"/>
                <w:szCs w:val="24"/>
              </w:rPr>
              <w:t>HTML 网页设计</w:t>
            </w:r>
          </w:p>
        </w:tc>
        <w:tc>
          <w:tcPr>
            <w:tcW w:w="254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26"/>
              <w:shd w:val="clear" w:color="auto" w:fill="auto"/>
              <w:spacing w:before="0" w:after="0" w:line="480" w:lineRule="exact"/>
              <w:jc w:val="center"/>
              <w:rPr>
                <w:rFonts w:ascii="仿宋" w:hAnsi="仿宋" w:eastAsia="仿宋" w:cs="仿宋"/>
                <w:color w:val="000000"/>
                <w:spacing w:val="0"/>
                <w:sz w:val="24"/>
                <w:szCs w:val="24"/>
                <w:lang w:val="zh-TW" w:eastAsia="zh-TW" w:bidi="zh-TW"/>
              </w:rPr>
            </w:pPr>
            <w:r>
              <w:rPr>
                <w:rFonts w:hint="eastAsia" w:ascii="仿宋" w:hAnsi="仿宋" w:eastAsia="仿宋" w:cs="仿宋"/>
                <w:color w:val="000000"/>
                <w:spacing w:val="0"/>
                <w:sz w:val="24"/>
                <w:szCs w:val="24"/>
                <w:lang w:val="zh-TW" w:eastAsia="zh-TW" w:bidi="zh-TW"/>
              </w:rPr>
              <w:t>数据采集证书（初级）</w:t>
            </w:r>
          </w:p>
        </w:tc>
      </w:tr>
    </w:tbl>
    <w:p>
      <w:pPr>
        <w:overflowPunct w:val="0"/>
        <w:spacing w:line="240" w:lineRule="auto"/>
        <w:ind w:firstLine="600" w:firstLineChars="200"/>
        <w:rPr>
          <w:rFonts w:eastAsia="黑体"/>
          <w:sz w:val="30"/>
          <w:szCs w:val="30"/>
        </w:rPr>
      </w:pPr>
      <w:r>
        <w:rPr>
          <w:rFonts w:hint="eastAsia" w:ascii="黑体" w:hAnsi="黑体" w:eastAsia="黑体"/>
          <w:sz w:val="30"/>
          <w:szCs w:val="30"/>
        </w:rPr>
        <w:t>五、培养目标与培养规格</w:t>
      </w:r>
    </w:p>
    <w:p>
      <w:pPr>
        <w:spacing w:line="560" w:lineRule="exact"/>
        <w:ind w:firstLine="600" w:firstLineChars="200"/>
        <w:rPr>
          <w:sz w:val="28"/>
          <w:szCs w:val="28"/>
        </w:rPr>
      </w:pPr>
      <w:r>
        <w:rPr>
          <w:rFonts w:hint="eastAsia" w:ascii="楷体" w:hAnsi="楷体" w:eastAsia="楷体" w:cs="楷体"/>
          <w:sz w:val="30"/>
          <w:szCs w:val="30"/>
        </w:rPr>
        <w:t>（一）培养目标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本专业培养与河南大数据产业发展要求相适应，理想信念坚定，综合素质良好，德、智、体、美、劳全面发展，具有一定创新能力和良好职业道德，掌握计算机网络技术、Java 程序设计、Python 程序设计、HTML 网页设计、数据采集、数据预处理、数据可视化等本专业知识和技术技能，面向大数据行业，能够从事数据采集、大数据应用开发等高素质劳动者和技能型人才。</w:t>
      </w:r>
    </w:p>
    <w:p>
      <w:pPr>
        <w:numPr>
          <w:ilvl w:val="0"/>
          <w:numId w:val="1"/>
        </w:numPr>
        <w:spacing w:line="560" w:lineRule="exact"/>
        <w:ind w:firstLine="600" w:firstLineChars="200"/>
        <w:rPr>
          <w:rFonts w:ascii="楷体" w:hAnsi="楷体" w:eastAsia="楷体" w:cs="楷体"/>
          <w:sz w:val="30"/>
          <w:szCs w:val="30"/>
        </w:rPr>
      </w:pPr>
      <w:r>
        <w:rPr>
          <w:rFonts w:hint="eastAsia" w:ascii="楷体" w:hAnsi="楷体" w:eastAsia="楷体" w:cs="楷体"/>
          <w:sz w:val="30"/>
          <w:szCs w:val="30"/>
        </w:rPr>
        <w:t>培养规格</w:t>
      </w:r>
    </w:p>
    <w:p>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本专业毕业生应具有以下职业素养、专业知识和技能：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1.职业素养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（1）坚定拥护中国共产党领导，在习近平新时代中国特色社会主义思想指引下，践行社会主义核心价值观，具有深厚的爱国情感和中华民族自豪感。</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（2）崇尚宪法、遵法守纪、崇德向善、诚实守信、尊重生命、热爱劳动，履行道德准则和行为规范，具有社会责任感和社会参与意识。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（3）具有质量意识、环保意识、安全意识、信息素养、工匠精神、创新思维。</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（4）具有自我管理能力、职业生涯规划的意识，有较强的集体意识和团队合作精神。</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（5）具有健康的体魄、心理和健全的人格，掌握基本运动知识和一两项运动技能，养成良好的健身与卫生习惯，良好的行为习惯。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（6）具有一定的审美和人文素养，能够形成一两项艺术特长或爱好。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（7）具有健全的心理，具备稳定向上的情感力量，坚强恒久的意志力量，鲜明独特的人格力量。</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2.专业知识和技能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（1）专业基础知识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大数据技术应用基础知识；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2 \* GB3 </w:instrText>
      </w:r>
      <w:r>
        <w:rPr>
          <w:rFonts w:hint="eastAsia" w:ascii="仿宋" w:hAnsi="仿宋" w:eastAsia="仿宋" w:cs="仿宋"/>
          <w:sz w:val="30"/>
          <w:szCs w:val="30"/>
        </w:rPr>
        <w:fldChar w:fldCharType="separate"/>
      </w:r>
      <w:r>
        <w:rPr>
          <w:rFonts w:hint="eastAsia" w:ascii="仿宋" w:hAnsi="仿宋" w:eastAsia="仿宋" w:cs="仿宋"/>
          <w:sz w:val="30"/>
          <w:szCs w:val="30"/>
        </w:rPr>
        <w:t>②</w:t>
      </w:r>
      <w:r>
        <w:rPr>
          <w:rFonts w:hint="eastAsia" w:ascii="仿宋" w:hAnsi="仿宋" w:eastAsia="仿宋" w:cs="仿宋"/>
          <w:sz w:val="30"/>
          <w:szCs w:val="30"/>
        </w:rPr>
        <w:fldChar w:fldCharType="end"/>
      </w:r>
      <w:r>
        <w:rPr>
          <w:rFonts w:hint="eastAsia" w:ascii="仿宋" w:hAnsi="仿宋" w:eastAsia="仿宋" w:cs="仿宋"/>
          <w:sz w:val="30"/>
          <w:szCs w:val="30"/>
        </w:rPr>
        <w:t>计算机网络维护基础知识；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3 \* GB3 </w:instrText>
      </w:r>
      <w:r>
        <w:rPr>
          <w:rFonts w:hint="eastAsia" w:ascii="仿宋" w:hAnsi="仿宋" w:eastAsia="仿宋" w:cs="仿宋"/>
          <w:sz w:val="30"/>
          <w:szCs w:val="30"/>
        </w:rPr>
        <w:fldChar w:fldCharType="separate"/>
      </w:r>
      <w:r>
        <w:rPr>
          <w:rFonts w:hint="eastAsia" w:ascii="仿宋" w:hAnsi="仿宋" w:eastAsia="仿宋" w:cs="仿宋"/>
          <w:sz w:val="30"/>
          <w:szCs w:val="30"/>
        </w:rPr>
        <w:t>③</w:t>
      </w:r>
      <w:r>
        <w:rPr>
          <w:rFonts w:hint="eastAsia" w:ascii="仿宋" w:hAnsi="仿宋" w:eastAsia="仿宋" w:cs="仿宋"/>
          <w:sz w:val="30"/>
          <w:szCs w:val="30"/>
        </w:rPr>
        <w:fldChar w:fldCharType="end"/>
      </w:r>
      <w:r>
        <w:rPr>
          <w:rFonts w:hint="eastAsia" w:ascii="仿宋" w:hAnsi="仿宋" w:eastAsia="仿宋" w:cs="仿宋"/>
          <w:sz w:val="30"/>
          <w:szCs w:val="30"/>
        </w:rPr>
        <w:t>计算机组装维护基础知识。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（2）专业知识与技能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程序设计基础知识；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2 \* GB3 </w:instrText>
      </w:r>
      <w:r>
        <w:rPr>
          <w:rFonts w:hint="eastAsia" w:ascii="仿宋" w:hAnsi="仿宋" w:eastAsia="仿宋" w:cs="仿宋"/>
          <w:sz w:val="30"/>
          <w:szCs w:val="30"/>
        </w:rPr>
        <w:fldChar w:fldCharType="separate"/>
      </w:r>
      <w:r>
        <w:rPr>
          <w:rFonts w:hint="eastAsia" w:ascii="仿宋" w:hAnsi="仿宋" w:eastAsia="仿宋" w:cs="仿宋"/>
          <w:sz w:val="30"/>
          <w:szCs w:val="30"/>
        </w:rPr>
        <w:t>②</w:t>
      </w:r>
      <w:r>
        <w:rPr>
          <w:rFonts w:hint="eastAsia" w:ascii="仿宋" w:hAnsi="仿宋" w:eastAsia="仿宋" w:cs="仿宋"/>
          <w:sz w:val="30"/>
          <w:szCs w:val="30"/>
        </w:rPr>
        <w:fldChar w:fldCharType="end"/>
      </w:r>
      <w:r>
        <w:rPr>
          <w:rFonts w:hint="eastAsia" w:ascii="仿宋" w:hAnsi="仿宋" w:eastAsia="仿宋" w:cs="仿宋"/>
          <w:sz w:val="30"/>
          <w:szCs w:val="30"/>
        </w:rPr>
        <w:t>网页制作基础知识；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3 \* GB3 </w:instrText>
      </w:r>
      <w:r>
        <w:rPr>
          <w:rFonts w:hint="eastAsia" w:ascii="仿宋" w:hAnsi="仿宋" w:eastAsia="仿宋" w:cs="仿宋"/>
          <w:sz w:val="30"/>
          <w:szCs w:val="30"/>
        </w:rPr>
        <w:fldChar w:fldCharType="separate"/>
      </w:r>
      <w:r>
        <w:rPr>
          <w:rFonts w:hint="eastAsia" w:ascii="仿宋" w:hAnsi="仿宋" w:eastAsia="仿宋" w:cs="仿宋"/>
          <w:sz w:val="30"/>
          <w:szCs w:val="30"/>
        </w:rPr>
        <w:t>③</w:t>
      </w:r>
      <w:r>
        <w:rPr>
          <w:rFonts w:hint="eastAsia" w:ascii="仿宋" w:hAnsi="仿宋" w:eastAsia="仿宋" w:cs="仿宋"/>
          <w:sz w:val="30"/>
          <w:szCs w:val="30"/>
        </w:rPr>
        <w:fldChar w:fldCharType="end"/>
      </w:r>
      <w:r>
        <w:rPr>
          <w:rFonts w:hint="eastAsia" w:ascii="仿宋" w:hAnsi="仿宋" w:eastAsia="仿宋" w:cs="仿宋"/>
          <w:sz w:val="30"/>
          <w:szCs w:val="30"/>
        </w:rPr>
        <w:t>图像图像处理基础知识；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4 \* GB3 </w:instrText>
      </w:r>
      <w:r>
        <w:rPr>
          <w:rFonts w:hint="eastAsia" w:ascii="仿宋" w:hAnsi="仿宋" w:eastAsia="仿宋" w:cs="仿宋"/>
          <w:sz w:val="30"/>
          <w:szCs w:val="30"/>
        </w:rPr>
        <w:fldChar w:fldCharType="separate"/>
      </w:r>
      <w:r>
        <w:rPr>
          <w:rFonts w:hint="eastAsia" w:ascii="仿宋" w:hAnsi="仿宋" w:eastAsia="仿宋" w:cs="仿宋"/>
          <w:sz w:val="30"/>
          <w:szCs w:val="30"/>
        </w:rPr>
        <w:t>④</w:t>
      </w:r>
      <w:r>
        <w:rPr>
          <w:rFonts w:hint="eastAsia" w:ascii="仿宋" w:hAnsi="仿宋" w:eastAsia="仿宋" w:cs="仿宋"/>
          <w:sz w:val="30"/>
          <w:szCs w:val="30"/>
        </w:rPr>
        <w:fldChar w:fldCharType="end"/>
      </w:r>
      <w:r>
        <w:rPr>
          <w:rFonts w:hint="eastAsia" w:ascii="仿宋" w:hAnsi="仿宋" w:eastAsia="仿宋" w:cs="仿宋"/>
          <w:sz w:val="30"/>
          <w:szCs w:val="30"/>
        </w:rPr>
        <w:t>数据库基础知识；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5 \* GB3 </w:instrText>
      </w:r>
      <w:r>
        <w:rPr>
          <w:rFonts w:hint="eastAsia" w:ascii="仿宋" w:hAnsi="仿宋" w:eastAsia="仿宋" w:cs="仿宋"/>
          <w:sz w:val="30"/>
          <w:szCs w:val="30"/>
        </w:rPr>
        <w:fldChar w:fldCharType="separate"/>
      </w:r>
      <w:r>
        <w:rPr>
          <w:rFonts w:hint="eastAsia" w:ascii="仿宋" w:hAnsi="仿宋" w:eastAsia="仿宋" w:cs="仿宋"/>
          <w:sz w:val="30"/>
          <w:szCs w:val="30"/>
        </w:rPr>
        <w:t>⑤</w:t>
      </w:r>
      <w:r>
        <w:rPr>
          <w:rFonts w:hint="eastAsia" w:ascii="仿宋" w:hAnsi="仿宋" w:eastAsia="仿宋" w:cs="仿宋"/>
          <w:sz w:val="30"/>
          <w:szCs w:val="30"/>
        </w:rPr>
        <w:fldChar w:fldCharType="end"/>
      </w:r>
      <w:r>
        <w:rPr>
          <w:rFonts w:hint="eastAsia" w:ascii="仿宋" w:hAnsi="仿宋" w:eastAsia="仿宋" w:cs="仿宋"/>
          <w:sz w:val="30"/>
          <w:szCs w:val="30"/>
        </w:rPr>
        <w:t>网站开发基础知识。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⑥具有探究学习、终身学习、分析问题和解决问题的能力；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⑦具有良好的语言、文字表达能力和团队沟通能力；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⑧具有较熟练的计算机操作能力和利用网络获取与处理信息的能力。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⑨具有大数据应用开发能力；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⑩具有数据采集和预处理的能力；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⑪具有数据可视化能力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⑫具有具备普通逻辑代码编写、程序模块开发、网页设计能力；</w:t>
      </w:r>
    </w:p>
    <w:p>
      <w:pPr>
        <w:overflowPunct w:val="0"/>
        <w:spacing w:line="560" w:lineRule="atLeast"/>
        <w:ind w:firstLine="600" w:firstLineChars="200"/>
        <w:rPr>
          <w:rFonts w:ascii="黑体" w:hAnsi="黑体" w:eastAsia="黑体"/>
          <w:sz w:val="30"/>
          <w:szCs w:val="30"/>
        </w:rPr>
      </w:pPr>
      <w:r>
        <w:rPr>
          <w:rFonts w:hint="eastAsia" w:ascii="黑体" w:hAnsi="黑体" w:eastAsia="黑体"/>
          <w:sz w:val="30"/>
          <w:szCs w:val="30"/>
        </w:rPr>
        <w:t>六、课程设置及要求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本专业课程设置分为公共基础课和专业技能课。</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公共基础课包括国防教育、劳动教育、</w:t>
      </w:r>
      <w:r>
        <w:rPr>
          <w:rFonts w:hint="eastAsia" w:ascii="仿宋" w:hAnsi="仿宋" w:eastAsia="仿宋" w:cs="仿宋"/>
          <w:sz w:val="30"/>
          <w:szCs w:val="30"/>
          <w:lang w:eastAsia="zh-CN"/>
        </w:rPr>
        <w:t>中国特色社会主义</w:t>
      </w:r>
      <w:r>
        <w:rPr>
          <w:rFonts w:hint="eastAsia" w:ascii="仿宋" w:hAnsi="仿宋" w:eastAsia="仿宋" w:cs="仿宋"/>
          <w:sz w:val="30"/>
          <w:szCs w:val="30"/>
        </w:rPr>
        <w:t>、心理健康与职业生涯、哲学与人生、</w:t>
      </w:r>
      <w:r>
        <w:rPr>
          <w:rFonts w:hint="eastAsia" w:ascii="仿宋" w:hAnsi="仿宋" w:eastAsia="仿宋" w:cs="仿宋"/>
          <w:sz w:val="30"/>
          <w:szCs w:val="30"/>
          <w:lang w:eastAsia="zh-CN"/>
        </w:rPr>
        <w:t>职业道德与法治</w:t>
      </w:r>
      <w:r>
        <w:rPr>
          <w:rFonts w:hint="eastAsia" w:ascii="仿宋" w:hAnsi="仿宋" w:eastAsia="仿宋" w:cs="仿宋"/>
          <w:sz w:val="30"/>
          <w:szCs w:val="30"/>
        </w:rPr>
        <w:t>、语文、数学、英语、体育与健康、历史、信息技术。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专业技能课包括专业基础课、核心专业课，实习实训是专业技能课教学的重要内容，含校内外实训、顶岗实习多种形式。</w:t>
      </w:r>
    </w:p>
    <w:p>
      <w:pPr>
        <w:spacing w:line="560" w:lineRule="exact"/>
        <w:ind w:firstLine="600" w:firstLineChars="200"/>
        <w:rPr>
          <w:rFonts w:ascii="楷体" w:hAnsi="楷体" w:eastAsia="楷体" w:cs="楷体"/>
          <w:sz w:val="30"/>
          <w:szCs w:val="30"/>
        </w:rPr>
      </w:pPr>
      <w:r>
        <w:rPr>
          <w:rFonts w:hint="eastAsia" w:ascii="楷体" w:hAnsi="楷体" w:eastAsia="楷体" w:cs="楷体"/>
          <w:sz w:val="30"/>
          <w:szCs w:val="30"/>
        </w:rPr>
        <w:t>（一）公共基础课程及要求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1.国防教育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课程目标：国防教育是为捍卫国家主权、领土完整和安全，防御外来侵略、颠覆和威胁，向全民传授与国防有关的思想、知识、技能的社会活动。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主要内容：国防教育的内涵、开展国防教育对中职生的意义、中职学校展国防教育的措施。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做好与学科教学相结合，在课堂教学中渗透国防教育；做好与行为养成教育相结合，在日常管理中体现国防教育；做好与学校日常教育相结合，在寓教于乐中感受国防教育；做好与学校文化宣传教育相结合；充分利用区域教学资源，创建国防教育基地；精心组织军事训练，提高学生军事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2.劳动教育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w:t>
      </w:r>
      <w:bookmarkStart w:id="0" w:name="_Toc19561"/>
      <w:r>
        <w:rPr>
          <w:rFonts w:hint="eastAsia" w:ascii="仿宋" w:hAnsi="仿宋" w:eastAsia="仿宋" w:cs="仿宋"/>
          <w:sz w:val="30"/>
          <w:szCs w:val="30"/>
        </w:rPr>
        <w:t>通过劳动教育，使学生能够理解和形成马克思主义劳动观，牢固树立劳动最光荣、劳动最崇高、劳动最伟大、劳动最美丽的观念；体会劳动创造美好生活，体认劳动不分贵贱，热爱劳动，尊重普通劳动者，培养勤俭、奋斗、创新、奉献的劳动精神；具备满足生存发展需要的基本劳动能力，形成良好劳动习惯，养成良好的劳动习惯和品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w:t>
      </w:r>
      <w:bookmarkEnd w:id="0"/>
      <w:r>
        <w:rPr>
          <w:rFonts w:hint="eastAsia" w:ascii="仿宋" w:hAnsi="仿宋" w:eastAsia="仿宋" w:cs="仿宋"/>
          <w:sz w:val="30"/>
          <w:szCs w:val="30"/>
        </w:rPr>
        <w:t>：本课程主要包括日常生活劳动、生产劳动和服务性劳动中的知识、技能与价值观，强化马克思主义劳动观教育、劳动相关法律法规与政策教育，主要围绕劳动精神、劳模精神、工匠精神、劳动组织、劳动安全和劳动法规等方面开设专题教育，以实习实训课为主要载体，围绕创新创业，结合实习实训、专业服务、社会实践、勤工助学等，使学生具有面对重大疫情、灾害等危机主动作为的奉献精神。</w:t>
      </w:r>
      <w:bookmarkStart w:id="1" w:name="_Toc9851"/>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w:t>
      </w:r>
      <w:bookmarkEnd w:id="1"/>
      <w:r>
        <w:rPr>
          <w:rFonts w:hint="eastAsia" w:ascii="仿宋" w:hAnsi="仿宋" w:eastAsia="仿宋" w:cs="仿宋"/>
          <w:sz w:val="30"/>
          <w:szCs w:val="30"/>
        </w:rPr>
        <w:t>：本课程重点结合专业特点，增强职业荣誉感和责任感，提高职业劳动技能水平，培育积极向上的劳动精神和认真负责的劳动态度。组织学生持续开展日常生活劳动，自我管理生活，提高劳动自立自强的意识和能力；定期开展校内外公益服务性劳动，做好校园环境秩序维护，运用专业技能为社会、为他人提供相关公益服务，培育社会公德，厚植爱国爱民的情怀；依托实习实训，参与真实的生产劳动和服务性劳动，增强职业认同感和劳动自豪感，提升创意物化能力，培育不断探索、精益求精、追求卓越的工匠精神和爱岗敬业的劳动态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.中国特色社会主义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以习近平新时代中国特色社会主义思想为指导，阐释中国特色社</w:t>
      </w:r>
      <w:r>
        <w:rPr>
          <w:rFonts w:ascii="仿宋" w:hAnsi="仿宋" w:eastAsia="仿宋" w:cs="仿宋"/>
          <w:sz w:val="30"/>
          <w:szCs w:val="30"/>
        </w:rPr>
        <w:t>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.心理健康与职业生涯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基于社会发展对中职学生心理素质、职业生涯发展提出的新要</w:t>
      </w:r>
      <w:r>
        <w:rPr>
          <w:rFonts w:ascii="仿宋" w:hAnsi="仿宋" w:eastAsia="仿宋" w:cs="仿宋"/>
          <w:sz w:val="30"/>
          <w:szCs w:val="30"/>
        </w:rPr>
        <w:t>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.哲学与人生</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阐明马克思主义哲学是科学的世界观和方法论，讲述辩证唯物主</w:t>
      </w:r>
      <w:r>
        <w:rPr>
          <w:rFonts w:ascii="仿宋" w:hAnsi="仿宋" w:eastAsia="仿宋" w:cs="仿宋"/>
          <w:sz w:val="30"/>
          <w:szCs w:val="30"/>
        </w:rPr>
        <w:t>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rPr>
        <w:t>.职业道德与法治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着眼于提高中职学生的职业道德素质和法治素养，对学生进行</w:t>
      </w:r>
      <w:r>
        <w:rPr>
          <w:rFonts w:ascii="仿宋" w:hAnsi="仿宋" w:eastAsia="仿宋" w:cs="仿宋"/>
          <w:sz w:val="30"/>
          <w:szCs w:val="30"/>
        </w:rPr>
        <w:t>职业道德和法治教育。帮助学生理解全面依法治国的总目标和基本要求，了解职业道德和法律规范，增强职业道德和法治意识，养成爱岗敬业、依法办事的思维方式和行为习惯。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7.语文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课程目标：通过本课程学习，使学生能熟练掌握专业学习和终身发展所必备的语言基础知识，能够正确理解和运用祖国的语言文字，全面提升语文素养，培养健康的审美情趣和健全的人格，促进职业生涯的发展。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在中学语文的基础上，进一步加强现代文和文言文阅读训练，加强写作和口语交际训练。通过课内外的教学活动，使学生进一步巩固和扩展必需的语文基础知识，养成自学和运用语文的良好习惯，接受优秀文化熏陶，形成高尚的审美情趣。</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学生应具备很好的阅读能力、口语交际能力、社会生活和工作必需的应用文写作能力，有自觉和运用语文的良好习惯。具备一定的科技应用文阅读理解水平，能够搜集、整理与运用信息；会撰写行政公文、法规与规章文书、日常事务文书、调查问卷与报告。</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8.数学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使学生理解掌握数学基础模块中相关知识的基本概念、理论和方法；培养学生的计算技能、计算工具使用技能和数据处理技能，培养学生的观察能力、空间想象能力、分析与解决问题能力和数学思维能力。为学习专业知识、掌握职业技能、继续学习和终身发展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主要内容：集合、不等式、函数、数列、平面向量、直线和圆的方程、立体几何、概率与统计初步等基础知识。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让学生了解数学知识的形成与应用过程；鼓励学生自主探究和合作交流；尊重学生的个体差异，满足多样化的学习需要；关注学生数学思维能力的发展；注重数学知识之间的联系，重视教学思想方法的联系与运用；充分运用现代信息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9.英语</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帮助学生进一步学习英语基础知识，培养听、说、读、写等语言技能，初步形成职场英语的应用能力；激发和培养学生学习英语的兴趣，提高学生学习的自信心，帮助学生掌握学习策略，养成良好的学习习惯，提高学生自主学习能力。在今后的职业生涯中，能有效地进行英语口头和书面的信息交流。</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主要内容：简单的日常交际用语、简单的话题、常用语法、语句和常用词汇。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教学要求：鼓励学生自主探究和合作交流；尊重学生的个体差异，满足多样化的学习需要；关注学生英语思维能力的发展；注重英语知识之间的联系，重视教学思想方法的联系与运用；充分运用现代信息技术。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10.体育与健康</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传授体育与健康的基本文化知识、体育技能和方法，通过科学指导和安排体育锻炼过程，培养学生的健康人格、增强学生体能素质、提高综合职业能力，养成终身从事体育锻炼的意识、能力与习惯，提高生活质量，为全面促进学生身体健康、心理健康和社会适应能力服务。</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主要内容：学习基本的体育运动技能、掌握几种简单科学的的锻炼方式、基本的保健知识和技能。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教学要求：通过体育课程，培养具有健康第一的意识，德、智、体、美全面发展的合格人才。增强学生体质健康水平，激发学生参与体育活动的兴趣，培养他们终身参与体育锻炼的意识和习惯。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11.历史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课程目标：了解历史的时序，初步掌握解释历史问题的方法，从历史的角度认识中国的具体国情，认同中华民族的优秀文化传统，尊重和热爱祖国的历史和文化。</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主要内容：中国古代史、中国近现代史、世界历史。</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教学要求：通过学习，使学生能比较全面地了解历代史家的史学思想、方法，具备运用辨证史观分析问题和解决问题的基本能力。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12.信息技术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旨在培养学生在信息化社会中学习、工作和生活所要掌握的计算机应用基础的基本理论知识和实际操作技能，全面掌握计算机的工作原理、硬件系统和软件系统，具备在网上获取资源和交流信息的能力，为专业课打下坚实的基础，并能在各自的专业领域应用计算机进行学习与发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了解计算机的基础知识和基本操作，熟练掌握操作系统（Windows）的操作方法；熟练掌握文字处理软件（Word）的主要功能；基本掌握电子表格软件（Excel）的使用；基本掌握演示文稿软件（PowerPoint）的制作;基本掌握Internet的应用及计算机网络等知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通过本课程的学习，学生应能熟练掌握计算机基础知识、常用操作系统的使用、文字处理软件的使用、计算机网络的基本操作和使用；具有良好的办公自动化应用能力，会进行文字处理、数据处理，能获取、整理、加工信息，会进行网上交互。</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ascii="仿宋" w:hAnsi="仿宋" w:eastAsia="仿宋" w:cs="仿宋"/>
          <w:sz w:val="30"/>
          <w:szCs w:val="30"/>
        </w:rPr>
        <w:t>3</w:t>
      </w:r>
      <w:r>
        <w:rPr>
          <w:rFonts w:hint="eastAsia" w:ascii="仿宋" w:hAnsi="仿宋" w:eastAsia="仿宋" w:cs="仿宋"/>
          <w:sz w:val="30"/>
          <w:szCs w:val="30"/>
        </w:rPr>
        <w:t xml:space="preserve">.艺术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在艺术学科的学习中，学生观察自然、了解社会、感悟人生，探究、体验、领会艺术的魅力，积极、主动参与艺术活动，用有组织、有意义的音乐语言表达思想，用视觉媒介和技术创造形象，用舞蹈语言抒发清感，通过扮演戏剧角色品味丰富的人生，运用现代媒介和数字媒体技术再现与表现世界，在艺术的世界中求真、崇善、尚美。</w:t>
      </w:r>
      <w:r>
        <w:rPr>
          <w:rFonts w:ascii="仿宋" w:hAnsi="仿宋" w:eastAsia="仿宋" w:cs="仿宋"/>
          <w:sz w:val="30"/>
          <w:szCs w:val="30"/>
        </w:rPr>
        <w:t xml:space="preserve">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主要内容：运用感知、经验和知识对艺术作品进行观察、体验、联想、鉴别和评价。</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在教学过程中，打破学生对艺术的陌生感，引导学生围绕主题展开想象；将即兴动机巧妙融入课堂，引导学生体会特定的情境；以丰富的情境语言逐步引导学生发挥想象力、模仿力和创造力，为学生情感活动与认知活动的结合开拓有效途径。</w:t>
      </w:r>
      <w:r>
        <w:rPr>
          <w:rFonts w:ascii="仿宋" w:hAnsi="仿宋" w:eastAsia="仿宋" w:cs="仿宋"/>
          <w:sz w:val="30"/>
          <w:szCs w:val="30"/>
        </w:rPr>
        <w:t xml:space="preserve"> </w:t>
      </w:r>
    </w:p>
    <w:p>
      <w:pPr>
        <w:pStyle w:val="2"/>
      </w:pPr>
    </w:p>
    <w:p>
      <w:pPr>
        <w:spacing w:line="480" w:lineRule="exact"/>
        <w:ind w:firstLine="0"/>
        <w:jc w:val="center"/>
        <w:rPr>
          <w:b/>
          <w:sz w:val="28"/>
          <w:szCs w:val="28"/>
        </w:rPr>
      </w:pPr>
      <w:r>
        <w:rPr>
          <w:rFonts w:hint="eastAsia"/>
          <w:b/>
          <w:sz w:val="28"/>
          <w:szCs w:val="28"/>
        </w:rPr>
        <w:t>公共</w:t>
      </w:r>
      <w:r>
        <w:rPr>
          <w:rFonts w:hint="eastAsia"/>
          <w:b/>
          <w:sz w:val="28"/>
          <w:szCs w:val="28"/>
          <w:lang w:eastAsia="zh-CN"/>
        </w:rPr>
        <w:t>基础</w:t>
      </w:r>
      <w:r>
        <w:rPr>
          <w:rFonts w:hint="eastAsia"/>
          <w:b/>
          <w:sz w:val="28"/>
          <w:szCs w:val="28"/>
        </w:rPr>
        <w:t>课程设置及学时分配</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500"/>
        <w:gridCol w:w="5280"/>
        <w:gridCol w:w="10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13" w:type="dxa"/>
            <w:vAlign w:val="center"/>
          </w:tcPr>
          <w:p>
            <w:pPr>
              <w:pStyle w:val="62"/>
              <w:spacing w:line="300" w:lineRule="atLeast"/>
              <w:jc w:val="center"/>
              <w:rPr>
                <w:rFonts w:asciiTheme="majorEastAsia" w:hAnsiTheme="majorEastAsia" w:eastAsiaTheme="majorEastAsia"/>
                <w:sz w:val="21"/>
                <w:szCs w:val="21"/>
              </w:rPr>
            </w:pPr>
            <w:r>
              <w:rPr>
                <w:rFonts w:asciiTheme="majorEastAsia" w:hAnsiTheme="majorEastAsia" w:eastAsiaTheme="majorEastAsia"/>
                <w:sz w:val="21"/>
                <w:szCs w:val="21"/>
              </w:rPr>
              <w:t>序号</w:t>
            </w:r>
          </w:p>
        </w:tc>
        <w:tc>
          <w:tcPr>
            <w:tcW w:w="2500" w:type="dxa"/>
            <w:vAlign w:val="center"/>
          </w:tcPr>
          <w:p>
            <w:pPr>
              <w:pStyle w:val="62"/>
              <w:spacing w:line="300" w:lineRule="atLeast"/>
              <w:jc w:val="center"/>
              <w:rPr>
                <w:rFonts w:asciiTheme="majorEastAsia" w:hAnsiTheme="majorEastAsia" w:eastAsiaTheme="majorEastAsia"/>
                <w:sz w:val="21"/>
                <w:szCs w:val="21"/>
              </w:rPr>
            </w:pPr>
            <w:r>
              <w:rPr>
                <w:rFonts w:asciiTheme="majorEastAsia" w:hAnsiTheme="majorEastAsia" w:eastAsiaTheme="majorEastAsia"/>
                <w:sz w:val="21"/>
                <w:szCs w:val="21"/>
              </w:rPr>
              <w:t>课程名称</w:t>
            </w:r>
          </w:p>
        </w:tc>
        <w:tc>
          <w:tcPr>
            <w:tcW w:w="5280" w:type="dxa"/>
            <w:vAlign w:val="center"/>
          </w:tcPr>
          <w:p>
            <w:pPr>
              <w:pStyle w:val="62"/>
              <w:spacing w:line="300" w:lineRule="atLeast"/>
              <w:jc w:val="center"/>
              <w:rPr>
                <w:rFonts w:asciiTheme="majorEastAsia" w:hAnsiTheme="majorEastAsia" w:eastAsiaTheme="majorEastAsia"/>
                <w:sz w:val="21"/>
                <w:szCs w:val="21"/>
              </w:rPr>
            </w:pPr>
            <w:r>
              <w:rPr>
                <w:rFonts w:asciiTheme="majorEastAsia" w:hAnsiTheme="majorEastAsia" w:eastAsiaTheme="majorEastAsia"/>
                <w:sz w:val="21"/>
                <w:szCs w:val="21"/>
              </w:rPr>
              <w:t>主要教学内容和要求</w:t>
            </w:r>
          </w:p>
        </w:tc>
        <w:tc>
          <w:tcPr>
            <w:tcW w:w="1068" w:type="dxa"/>
            <w:vAlign w:val="center"/>
          </w:tcPr>
          <w:p>
            <w:pPr>
              <w:pStyle w:val="62"/>
              <w:spacing w:line="300" w:lineRule="atLeast"/>
              <w:jc w:val="center"/>
              <w:rPr>
                <w:rFonts w:asciiTheme="majorEastAsia" w:hAnsiTheme="majorEastAsia" w:eastAsiaTheme="majorEastAsia"/>
                <w:sz w:val="21"/>
                <w:szCs w:val="21"/>
              </w:rPr>
            </w:pPr>
            <w:r>
              <w:rPr>
                <w:rFonts w:asciiTheme="majorEastAsia" w:hAnsiTheme="majorEastAsia" w:eastAsiaTheme="majorEastAsia"/>
                <w:sz w:val="21"/>
                <w:szCs w:val="21"/>
              </w:rPr>
              <w:t>学时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1</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国防教育</w:t>
            </w:r>
          </w:p>
        </w:tc>
        <w:tc>
          <w:tcPr>
            <w:tcW w:w="5280" w:type="dxa"/>
            <w:vAlign w:val="center"/>
          </w:tcPr>
          <w:p>
            <w:pPr>
              <w:pStyle w:val="62"/>
              <w:spacing w:line="240" w:lineRule="auto"/>
              <w:ind w:firstLine="0" w:firstLineChars="0"/>
              <w:rPr>
                <w:rFonts w:cs="宋体" w:asciiTheme="majorEastAsia" w:hAnsiTheme="majorEastAsia" w:eastAsiaTheme="majorEastAsia"/>
                <w:sz w:val="21"/>
                <w:szCs w:val="21"/>
              </w:rPr>
            </w:pPr>
            <w:r>
              <w:rPr>
                <w:rFonts w:hint="eastAsia" w:ascii="宋体" w:hAnsi="宋体" w:cs="宋体"/>
                <w:sz w:val="21"/>
                <w:szCs w:val="21"/>
              </w:rPr>
              <w:t>依据《中华人民共和国国防教育法》开设，并与专业实际和行业发展密切结合。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2</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劳动教育</w:t>
            </w:r>
          </w:p>
        </w:tc>
        <w:tc>
          <w:tcPr>
            <w:tcW w:w="5280" w:type="dxa"/>
            <w:vAlign w:val="center"/>
          </w:tcPr>
          <w:p>
            <w:pPr>
              <w:pStyle w:val="62"/>
              <w:spacing w:line="240" w:lineRule="auto"/>
              <w:ind w:firstLine="0" w:firstLineChars="0"/>
              <w:rPr>
                <w:rFonts w:cs="宋体" w:asciiTheme="majorEastAsia" w:hAnsiTheme="majorEastAsia" w:eastAsiaTheme="majorEastAsia"/>
                <w:sz w:val="21"/>
                <w:szCs w:val="21"/>
              </w:rPr>
            </w:pPr>
            <w:r>
              <w:rPr>
                <w:rFonts w:hint="eastAsia" w:ascii="宋体" w:hAnsi="宋体" w:cs="宋体"/>
                <w:sz w:val="21"/>
                <w:szCs w:val="21"/>
              </w:rPr>
              <w:t>依据《</w:t>
            </w:r>
            <w:r>
              <w:rPr>
                <w:rFonts w:ascii="宋体" w:hAnsi="宋体" w:cs="宋体"/>
                <w:sz w:val="21"/>
                <w:szCs w:val="21"/>
              </w:rPr>
              <w:t>关于全面加强新时代大中小学</w:t>
            </w:r>
            <w:r>
              <w:rPr>
                <w:rFonts w:ascii="宋体" w:hAnsi="宋体" w:cs="宋体"/>
                <w:iCs/>
                <w:sz w:val="21"/>
                <w:szCs w:val="21"/>
              </w:rPr>
              <w:t>劳动教育的</w:t>
            </w:r>
            <w:r>
              <w:rPr>
                <w:rFonts w:ascii="宋体" w:hAnsi="宋体" w:cs="宋体"/>
                <w:sz w:val="21"/>
                <w:szCs w:val="21"/>
              </w:rPr>
              <w:t>意见</w:t>
            </w:r>
            <w:r>
              <w:rPr>
                <w:rFonts w:hint="eastAsia" w:ascii="宋体" w:hAnsi="宋体" w:cs="宋体"/>
                <w:sz w:val="21"/>
                <w:szCs w:val="21"/>
              </w:rPr>
              <w:t>》开设，并与专业实际和行业发展密切结合。</w:t>
            </w:r>
          </w:p>
        </w:tc>
        <w:tc>
          <w:tcPr>
            <w:tcW w:w="1068" w:type="dxa"/>
            <w:vAlign w:val="center"/>
          </w:tcPr>
          <w:p>
            <w:pPr>
              <w:pStyle w:val="62"/>
              <w:spacing w:line="300" w:lineRule="atLeast"/>
              <w:jc w:val="center"/>
              <w:rPr>
                <w:rFonts w:hint="eastAsia" w:cs="宋体" w:asciiTheme="majorEastAsia" w:hAnsiTheme="majorEastAsia" w:eastAsiaTheme="majorEastAsia"/>
                <w:sz w:val="21"/>
                <w:szCs w:val="21"/>
                <w:lang w:eastAsia="zh-CN"/>
              </w:rPr>
            </w:pPr>
            <w:r>
              <w:rPr>
                <w:rFonts w:hint="eastAsia" w:cs="宋体" w:asciiTheme="majorEastAsia" w:hAnsiTheme="majorEastAsia" w:eastAsiaTheme="majorEastAsia"/>
                <w:sz w:val="21"/>
                <w:szCs w:val="21"/>
              </w:rPr>
              <w:t>4</w:t>
            </w:r>
            <w:r>
              <w:rPr>
                <w:rFonts w:hint="eastAsia" w:cs="宋体" w:asciiTheme="majorEastAsia" w:hAnsiTheme="majorEastAsia" w:eastAsiaTheme="majorEastAsia"/>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3</w:t>
            </w:r>
          </w:p>
        </w:tc>
        <w:tc>
          <w:tcPr>
            <w:tcW w:w="2500" w:type="dxa"/>
            <w:vAlign w:val="center"/>
          </w:tcPr>
          <w:p>
            <w:pPr>
              <w:pStyle w:val="62"/>
              <w:spacing w:line="300" w:lineRule="atLeast"/>
              <w:jc w:val="left"/>
              <w:rPr>
                <w:rFonts w:hint="eastAsia" w:cs="宋体" w:asciiTheme="majorEastAsia" w:hAnsiTheme="majorEastAsia" w:eastAsiaTheme="majorEastAsia"/>
                <w:sz w:val="21"/>
                <w:szCs w:val="21"/>
              </w:rPr>
            </w:pPr>
            <w:r>
              <w:rPr>
                <w:rFonts w:hint="eastAsia" w:cs="宋体" w:asciiTheme="majorEastAsia" w:hAnsiTheme="majorEastAsia" w:eastAsiaTheme="majorEastAsia"/>
                <w:sz w:val="21"/>
                <w:szCs w:val="21"/>
              </w:rPr>
              <w:t>中国特色社会主义</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w:t>
            </w:r>
          </w:p>
        </w:tc>
        <w:tc>
          <w:tcPr>
            <w:tcW w:w="2500" w:type="dxa"/>
            <w:vAlign w:val="center"/>
          </w:tcPr>
          <w:p>
            <w:pPr>
              <w:pStyle w:val="62"/>
              <w:spacing w:line="300" w:lineRule="atLeast"/>
              <w:jc w:val="left"/>
              <w:rPr>
                <w:rFonts w:hint="eastAsia" w:cs="宋体" w:asciiTheme="majorEastAsia" w:hAnsiTheme="majorEastAsia" w:eastAsiaTheme="majorEastAsia"/>
                <w:sz w:val="21"/>
                <w:szCs w:val="21"/>
              </w:rPr>
            </w:pPr>
            <w:r>
              <w:rPr>
                <w:rFonts w:hint="eastAsia" w:cs="宋体" w:asciiTheme="majorEastAsia" w:hAnsiTheme="majorEastAsia" w:eastAsiaTheme="majorEastAsia"/>
                <w:sz w:val="21"/>
                <w:szCs w:val="21"/>
              </w:rPr>
              <w:t>心理健康与职业生涯</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5</w:t>
            </w:r>
          </w:p>
        </w:tc>
        <w:tc>
          <w:tcPr>
            <w:tcW w:w="2500" w:type="dxa"/>
            <w:vAlign w:val="center"/>
          </w:tcPr>
          <w:p>
            <w:pPr>
              <w:pStyle w:val="62"/>
              <w:spacing w:line="300" w:lineRule="atLeast"/>
              <w:jc w:val="left"/>
              <w:rPr>
                <w:rFonts w:hint="eastAsia" w:cs="宋体" w:asciiTheme="majorEastAsia" w:hAnsiTheme="majorEastAsia" w:eastAsiaTheme="majorEastAsia"/>
                <w:sz w:val="21"/>
                <w:szCs w:val="21"/>
              </w:rPr>
            </w:pPr>
            <w:r>
              <w:rPr>
                <w:rFonts w:hint="eastAsia" w:cs="宋体" w:asciiTheme="majorEastAsia" w:hAnsiTheme="majorEastAsia" w:eastAsiaTheme="majorEastAsia"/>
                <w:sz w:val="21"/>
                <w:szCs w:val="21"/>
              </w:rPr>
              <w:t>哲学与人生</w:t>
            </w:r>
          </w:p>
        </w:tc>
        <w:tc>
          <w:tcPr>
            <w:tcW w:w="5280" w:type="dxa"/>
            <w:vAlign w:val="center"/>
          </w:tcPr>
          <w:p>
            <w:pPr>
              <w:spacing w:line="240" w:lineRule="auto"/>
              <w:ind w:left="0" w:leftChars="0" w:firstLine="0" w:firstLineChars="0"/>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6</w:t>
            </w:r>
          </w:p>
        </w:tc>
        <w:tc>
          <w:tcPr>
            <w:tcW w:w="2500" w:type="dxa"/>
            <w:vAlign w:val="center"/>
          </w:tcPr>
          <w:p>
            <w:pPr>
              <w:pStyle w:val="62"/>
              <w:spacing w:line="300" w:lineRule="atLeast"/>
              <w:jc w:val="left"/>
              <w:rPr>
                <w:rFonts w:hint="eastAsia" w:cs="宋体" w:asciiTheme="majorEastAsia" w:hAnsiTheme="majorEastAsia" w:eastAsiaTheme="majorEastAsia"/>
                <w:sz w:val="21"/>
                <w:szCs w:val="21"/>
              </w:rPr>
            </w:pPr>
            <w:r>
              <w:rPr>
                <w:rFonts w:hint="eastAsia" w:cs="宋体" w:asciiTheme="majorEastAsia" w:hAnsiTheme="majorEastAsia" w:eastAsiaTheme="majorEastAsia"/>
                <w:sz w:val="21"/>
                <w:szCs w:val="21"/>
              </w:rPr>
              <w:t>职业道德与法治</w:t>
            </w:r>
          </w:p>
        </w:tc>
        <w:tc>
          <w:tcPr>
            <w:tcW w:w="5280" w:type="dxa"/>
            <w:vAlign w:val="center"/>
          </w:tcPr>
          <w:p>
            <w:pPr>
              <w:spacing w:line="240" w:lineRule="auto"/>
              <w:ind w:left="0" w:leftChars="0" w:firstLine="0" w:firstLineChars="0"/>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依据《中等职业学校思想政治课程标准》开设，并与专业实际和行业发展密切结合。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7</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语文</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语文</w:t>
            </w:r>
            <w:r>
              <w:rPr>
                <w:rFonts w:hint="eastAsia" w:cs="宋体" w:asciiTheme="majorEastAsia" w:hAnsiTheme="majorEastAsia" w:eastAsiaTheme="majorEastAsia"/>
                <w:sz w:val="21"/>
                <w:szCs w:val="21"/>
              </w:rPr>
              <w:t>课程标准》开设，并注重在职业模块的教学内容中体现专业特色。</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8</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数学</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数学</w:t>
            </w:r>
            <w:r>
              <w:rPr>
                <w:rFonts w:hint="eastAsia" w:cs="宋体" w:asciiTheme="majorEastAsia" w:hAnsiTheme="majorEastAsia" w:eastAsiaTheme="majorEastAsia"/>
                <w:sz w:val="21"/>
                <w:szCs w:val="21"/>
              </w:rPr>
              <w:t>课程标准》开设，并注重在职业模块的教学内容中体现专业特色。</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9</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英语</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英语</w:t>
            </w:r>
            <w:r>
              <w:rPr>
                <w:rFonts w:hint="eastAsia" w:cs="宋体" w:asciiTheme="majorEastAsia" w:hAnsiTheme="majorEastAsia" w:eastAsiaTheme="majorEastAsia"/>
                <w:sz w:val="21"/>
                <w:szCs w:val="21"/>
              </w:rPr>
              <w:t>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10</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体育与健康</w:t>
            </w:r>
          </w:p>
        </w:tc>
        <w:tc>
          <w:tcPr>
            <w:tcW w:w="5280" w:type="dxa"/>
            <w:vAlign w:val="center"/>
          </w:tcPr>
          <w:p>
            <w:pPr>
              <w:pStyle w:val="62"/>
              <w:spacing w:line="240" w:lineRule="auto"/>
              <w:ind w:firstLine="0" w:firstLineChars="0"/>
              <w:rPr>
                <w:rFonts w:ascii="宋体" w:hAnsi="宋体" w:eastAsia="宋体" w:cs="宋体"/>
                <w:snapToGrid w:val="0"/>
                <w:kern w:val="2"/>
                <w:position w:val="10"/>
                <w:sz w:val="21"/>
                <w:szCs w:val="21"/>
                <w:lang w:val="en-US" w:eastAsia="zh-CN" w:bidi="ar-SA"/>
              </w:rPr>
            </w:pPr>
            <w:r>
              <w:rPr>
                <w:rFonts w:hint="eastAsia" w:ascii="宋体" w:hAnsi="宋体" w:cs="宋体"/>
                <w:sz w:val="21"/>
                <w:szCs w:val="21"/>
              </w:rPr>
              <w:t>依据《中等职业学校体育与健康课程标准》开设，并与专业实际和行业发展密切结合。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11</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历史</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依据《中等职业学校历史课程标准》开设，并与专业实际和行业发展密切结合。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12</w:t>
            </w:r>
          </w:p>
        </w:tc>
        <w:tc>
          <w:tcPr>
            <w:tcW w:w="2500" w:type="dxa"/>
            <w:vAlign w:val="center"/>
          </w:tcPr>
          <w:p>
            <w:pPr>
              <w:pStyle w:val="62"/>
              <w:spacing w:line="300" w:lineRule="atLeas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信息技术</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信息技术</w:t>
            </w:r>
            <w:bookmarkStart w:id="2" w:name="_GoBack"/>
            <w:bookmarkEnd w:id="2"/>
            <w:r>
              <w:rPr>
                <w:rFonts w:hint="eastAsia" w:cs="宋体" w:asciiTheme="majorEastAsia" w:hAnsiTheme="majorEastAsia" w:eastAsiaTheme="majorEastAsia"/>
                <w:sz w:val="21"/>
                <w:szCs w:val="21"/>
              </w:rPr>
              <w:t>课程标准》开设，并与专业实际和行业发展密切结合。</w:t>
            </w:r>
          </w:p>
        </w:tc>
        <w:tc>
          <w:tcPr>
            <w:tcW w:w="1068" w:type="dxa"/>
            <w:vAlign w:val="center"/>
          </w:tcPr>
          <w:p>
            <w:pPr>
              <w:pStyle w:val="62"/>
              <w:spacing w:line="300" w:lineRule="atLeast"/>
              <w:jc w:val="center"/>
              <w:rPr>
                <w:rFonts w:hint="default"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713"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1</w:t>
            </w:r>
            <w:r>
              <w:rPr>
                <w:rFonts w:cs="宋体" w:asciiTheme="majorEastAsia" w:hAnsiTheme="majorEastAsia" w:eastAsiaTheme="majorEastAsia"/>
                <w:sz w:val="21"/>
                <w:szCs w:val="21"/>
              </w:rPr>
              <w:t>3</w:t>
            </w:r>
          </w:p>
        </w:tc>
        <w:tc>
          <w:tcPr>
            <w:tcW w:w="2500" w:type="dxa"/>
            <w:vAlign w:val="center"/>
          </w:tcPr>
          <w:p>
            <w:pPr>
              <w:pStyle w:val="62"/>
              <w:spacing w:line="300" w:lineRule="atLeast"/>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艺术</w:t>
            </w:r>
          </w:p>
        </w:tc>
        <w:tc>
          <w:tcPr>
            <w:tcW w:w="5280" w:type="dxa"/>
            <w:vAlign w:val="center"/>
          </w:tcPr>
          <w:p>
            <w:pPr>
              <w:pStyle w:val="62"/>
              <w:spacing w:line="240" w:lineRule="auto"/>
              <w:jc w:val="left"/>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依据《中等职业学校</w:t>
            </w:r>
            <w:r>
              <w:rPr>
                <w:rFonts w:hint="eastAsia" w:cs="宋体" w:asciiTheme="majorEastAsia" w:hAnsiTheme="majorEastAsia" w:eastAsiaTheme="majorEastAsia"/>
                <w:sz w:val="21"/>
                <w:szCs w:val="21"/>
                <w:lang w:eastAsia="zh-CN"/>
              </w:rPr>
              <w:t>公共艺术</w:t>
            </w:r>
            <w:r>
              <w:rPr>
                <w:rFonts w:hint="eastAsia" w:cs="宋体" w:asciiTheme="majorEastAsia" w:hAnsiTheme="majorEastAsia" w:eastAsiaTheme="majorEastAsia"/>
                <w:sz w:val="21"/>
                <w:szCs w:val="21"/>
              </w:rPr>
              <w:t>课程标准》开设，并与专业实际和行业发展密切结合。</w:t>
            </w:r>
          </w:p>
        </w:tc>
        <w:tc>
          <w:tcPr>
            <w:tcW w:w="1068" w:type="dxa"/>
            <w:vAlign w:val="center"/>
          </w:tcPr>
          <w:p>
            <w:pPr>
              <w:pStyle w:val="62"/>
              <w:spacing w:line="300" w:lineRule="atLeast"/>
              <w:jc w:val="center"/>
              <w:rPr>
                <w:rFonts w:cs="宋体" w:asciiTheme="majorEastAsia" w:hAnsiTheme="majorEastAsia" w:eastAsiaTheme="majorEastAsia"/>
                <w:sz w:val="21"/>
                <w:szCs w:val="21"/>
              </w:rPr>
            </w:pPr>
            <w:r>
              <w:rPr>
                <w:rFonts w:hint="eastAsia" w:cs="宋体" w:asciiTheme="majorEastAsia" w:hAnsiTheme="majorEastAsia" w:eastAsiaTheme="majorEastAsia"/>
                <w:sz w:val="21"/>
                <w:szCs w:val="21"/>
              </w:rPr>
              <w:t>4</w:t>
            </w:r>
            <w:r>
              <w:rPr>
                <w:rFonts w:cs="宋体" w:asciiTheme="majorEastAsia" w:hAnsiTheme="majorEastAsia" w:eastAsiaTheme="majorEastAsia"/>
                <w:sz w:val="21"/>
                <w:szCs w:val="21"/>
              </w:rPr>
              <w:t>0</w:t>
            </w:r>
          </w:p>
        </w:tc>
      </w:tr>
    </w:tbl>
    <w:p>
      <w:pPr>
        <w:spacing w:line="560" w:lineRule="exact"/>
        <w:ind w:firstLine="600" w:firstLineChars="200"/>
        <w:rPr>
          <w:rFonts w:ascii="楷体" w:hAnsi="楷体" w:eastAsia="楷体" w:cs="楷体"/>
          <w:sz w:val="30"/>
          <w:szCs w:val="30"/>
        </w:rPr>
      </w:pPr>
      <w:r>
        <w:rPr>
          <w:rFonts w:hint="eastAsia" w:ascii="楷体" w:hAnsi="楷体" w:eastAsia="楷体" w:cs="楷体"/>
          <w:sz w:val="30"/>
          <w:szCs w:val="30"/>
        </w:rPr>
        <w:t>（二）专业技能课及要求</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1.网页设计与制作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的学习，要求学生掌握静态网页的制作方法、学会HTML语言、熟悉站点的上传和维护并能够独立解决网页编辑中遇到的一般问题，能熟练运用Dreamweaver进行网站的导入、规划、管理、发布的相关技术及网页制作的操作技能；能熟练掌握JAVASCRIPT脚本编程语言的基本语法知识，能实现网页的交互和特殊效果；能维护、管理和设计WEB应用程序；能独立设计小型WEB站点。</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主要涵盖了HTML语言的语法规则及文字、链接、列表、表格、表单、图像、多媒体、框架元素标记及属性、JavaScript脚本编程语言、Dreamweaver、Fireworks、Flash、Photoshop等相关知识，全面介绍WEB站点设计的基本操作技术和使用技巧。</w:t>
      </w:r>
    </w:p>
    <w:p>
      <w:pPr>
        <w:spacing w:line="560" w:lineRule="exact"/>
        <w:ind w:firstLine="600" w:firstLineChars="200"/>
        <w:rPr>
          <w:rFonts w:ascii="仿宋" w:hAnsi="仿宋" w:eastAsia="仿宋"/>
          <w:szCs w:val="24"/>
        </w:rPr>
      </w:pPr>
      <w:r>
        <w:rPr>
          <w:rFonts w:hint="eastAsia" w:ascii="仿宋" w:hAnsi="仿宋" w:eastAsia="仿宋" w:cs="仿宋"/>
          <w:sz w:val="30"/>
          <w:szCs w:val="30"/>
        </w:rPr>
        <w:t>教学要求：掌握网页的版面布局，熟悉网页的色彩搭配，熟悉网页的基本元素，会创建和管理站点，掌握文本的操作。</w:t>
      </w:r>
    </w:p>
    <w:p>
      <w:pPr>
        <w:numPr>
          <w:ilvl w:val="0"/>
          <w:numId w:val="0"/>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 xml:space="preserve">操作系统基础  </w:t>
      </w:r>
    </w:p>
    <w:p>
      <w:pPr>
        <w:numPr>
          <w:ilvl w:val="0"/>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课程目标：通过学习，使学生理解操作系统的基本概念、工作原理和实现技术，学习用计算思维去发现问题、分析问题和解决问题，为今后的学习和工作奠定基础。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主要内容：学生掌握计算机操作系统的基本原理及组成；计算机操作系统的概念和相关新概念、名词及术语；了解计算机操作系统的发展特点、设计技巧和方法；对常用计算机操作系统会进行基本的操作使用。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教学要求：本课程采用讲练结合教学，注重以学生为主，“教”与“学”互动。在教学过程中由教师提出阶梯状要求，学生在不断练习中逐步达到目标，掌握本课程的职业能力。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3.计算机编程基础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课程目标：通过本课程的学习，使学生具备 Java程序设计语言相关知识、能够编写、调试Java程序，遵守良好的代码编写规范。能够使用Java语言解决实际问题，能胜任Java程序开发、软件测试等工作任务。</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主要内容：开发简单Java应用程序；熟悉IDE下编写Java程序和掌握基本语法；掌握Java程序和程序调试的基本方法；掌握Java OOP基本思想；熟悉Java OOP的高级特性；练习Java数组与字符串；Java的异常处理。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以课程讲授为主，采用“教学做一体化”教学方式，注意教学方法的灵活性，建立多种教学媒体综合运用的运行机制，逐步建立适合学生个别化自主学习的支持服务体系和质量保证体系；用案例引导学生学习技能，并通过动手实践，让学生自己理解并归纳、掌握基本的编程知识与常识；整个教学过程突出精讲多练的模式，并使用课堂实践、课后实践来达到教学目的，在实践中建立完整的知识体系。</w:t>
      </w:r>
    </w:p>
    <w:p>
      <w:pPr>
        <w:numPr>
          <w:ilvl w:val="0"/>
          <w:numId w:val="0"/>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 xml:space="preserve">图形图像处理  </w:t>
      </w:r>
    </w:p>
    <w:p>
      <w:pPr>
        <w:numPr>
          <w:ilvl w:val="0"/>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本课程以图像处理为基本点。主要任务是使学生了解和掌握图像处理软件Photoshop工具的基本操作技能。目的是让学生理解图像色彩原理，掌握图像处理的知识和技术，学会各种工具和滤镜的使用。在此基础上,提高分析问题和解决问题的能力;提高学生的艺术修养，并为后续的专业课程奠定基础，使他们具有进一步学习相关知识的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主要内容：选区编辑；画笔工具；渐变工具；图章工具、修补工具；图层；图层蒙版与文字；路径的应用；滤镜；调整图像色彩；通道；动作；综合训练。</w:t>
      </w:r>
    </w:p>
    <w:p>
      <w:pPr>
        <w:spacing w:line="560" w:lineRule="exact"/>
        <w:ind w:firstLine="600" w:firstLineChars="200"/>
      </w:pPr>
      <w:r>
        <w:rPr>
          <w:rFonts w:hint="eastAsia" w:ascii="仿宋" w:hAnsi="仿宋" w:eastAsia="仿宋" w:cs="仿宋"/>
          <w:sz w:val="30"/>
          <w:szCs w:val="30"/>
        </w:rPr>
        <w:t>教学要求：本课程采用现场教学，注重以学生为主，“教”与“学”互动；在教学过程中由教师提出阶梯状要求，学生在不断练习中逐步达到目标，掌握本课程的职业能力。</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5.数据库应用基础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课程目标：通过任务引领型的项目活动，使学生能理解、掌握Visual Foxpro数据库系统的基本操作技能：包括数据库的一些基本概念、数据库的建立管理与维护、设计应用程序界面、数据库应用程序设计。并养成诚实、守信、吃苦耐劳的品德，养成善于动脑，勤于思考，及时发现问题的学习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数据库的建立与基本维护；数据库管理；简单程序设计；设计查询与视图；设计应用程序界面；设计报表与标签；设计应用程序菜单系统；图层；图层蒙版与文字；路径的应用；滤镜；调整图像色彩；通道；动作；综合训练。</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教学要求：在教学过程中，应立足于加强学生实际操作能力的培养，采用项目教学，以工作任务引领提高学生学习兴趣，激发学生的成就动机；</w:t>
      </w:r>
    </w:p>
    <w:p>
      <w:pPr>
        <w:spacing w:line="560" w:lineRule="exact"/>
        <w:ind w:firstLine="0"/>
        <w:rPr>
          <w:rFonts w:ascii="仿宋" w:hAnsi="仿宋" w:eastAsia="仿宋" w:cs="仿宋"/>
          <w:sz w:val="30"/>
          <w:szCs w:val="30"/>
        </w:rPr>
      </w:pPr>
      <w:r>
        <w:rPr>
          <w:rFonts w:hint="eastAsia" w:ascii="仿宋" w:hAnsi="仿宋" w:eastAsia="仿宋" w:cs="仿宋"/>
          <w:sz w:val="30"/>
          <w:szCs w:val="30"/>
        </w:rPr>
        <w:t>积极改进教学方法，坚持以学生为主体，充分调动学生学习的主动性、积极性；充分运用现代化教学手段，加强直观教学，边讲解、边演示、边练习，增加学生的感性认识，激发学生的学习Visual FoxPro6.0兴趣；      贯彻能力本位的教学思想，根据职业岗位设置，有针对性地加强对学生的技能训练。改革考核手段和方法，通过知识考试、技能实训考核综合评价学生成绩；加强职业道德和专业教育，培养学生的创新立业和岗位适应能力。注意行业的新发展，适时引进新的教学内容。</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6.计算机网络技术基础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初步掌握数据通信的基本原理、计算机网络中ISO/OSI的七层模型和TCP/IP的四层模型，初步掌握各层的基本功能和实现方法。初步掌握模型中的基本网络协议和网络应用层中的常用协议，初步掌握计算机网络接入技术，初步掌握计算机网络安全知识，学会运用一些知识去理解现代计算机网络，使用计算机网络必须要做的安全防范措施以及计算机网络实现和现代网络应用的关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主要内容：计算机网络概述；计算机网络体系结构；数据通信基础；TCP/IP协议簇；TCP/IP实用工具；局域网组网技术；以太网技术；交换式以太网与虚拟局域网；组建VLAN；无线局域网；局域网互连；网络应用。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因为本课程基本上是纯理论课，比较抽象，要充分注意讲授过程中的条理性和表述方法，多用实例，使学生对抽象的概念容易理解。所用的实例应为学生熟识的。讲授过程中应抓住本课程的核心内容进行组织，使学生能有效地掌握课程核心内容。</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7.数据库应用与数据分析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的学习，使本专业的学生具备从事后台典型数据库系统规划、数据库和数据表的创建及管理、表数据的查询及操作管理、数据库高级应用技术、数据库安全性管理、编程实现对数据库数据的操作等所必需的专业知识、专业技能及相关的职业能力，培养学生实际岗位的适应能力，提高学生的职业素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主要内容：数据库系统规划；数据库和数据表的创建及管理；表数据的查询及操作管理；数据库高级应用技术；数据库安全性管理；编程实现对数据库的操作。</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教学要求：加强对学生实际职业能力的培养，强化案例教学或项目教学，注重以任务引领型案例或项目诱发学生兴趣，使学生在项目活动中掌握相关的知识和技能；以学生为本，注重 “教”与“学”的互动；通过选用典型活动项目，由教师提出要求或示范，组织学生进行活动，让学生在活动中提高实际操作能力；注重职业情景的创设，提高学生岗位适应能力。</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8.Web 前端开发技术应用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本课程旨在学生岗前实训前，提高学生移动互联网应用软件开发理论知识和实践操作能力，为学生积累基本的软件开发经验，让学生初步掌握软件项目开发过程以及在软件开发过程中所需的各种技术和基本方法、方式、工具应用等，能在软件开发过程中熟练应用JQuery、AngularJS、Ionic、AJAX、JSON、Cordova等技术进行代码编写和代码分析，提高学生软件开发能力，丰富学生软件开发知识，提高学生软件开发的整体素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主要内容：HTML5技术；CSS3技术；JavaScript语言；文档对象模型；jQuery库介绍；Bootstrap样式库和插件；Cordova开发跨平台移动APP；</w:t>
      </w:r>
    </w:p>
    <w:p>
      <w:pPr>
        <w:spacing w:line="560" w:lineRule="exact"/>
        <w:ind w:firstLine="600" w:firstLineChars="200"/>
      </w:pPr>
      <w:r>
        <w:rPr>
          <w:rFonts w:hint="eastAsia" w:ascii="仿宋" w:hAnsi="仿宋" w:eastAsia="仿宋" w:cs="仿宋"/>
          <w:sz w:val="30"/>
          <w:szCs w:val="30"/>
        </w:rPr>
        <w:t>教学要求：本课程采用现场教学，注重以学生为主，“教”与“学”互动。在教学过程中由教师提出阶梯状要求，学生在不断练习中逐步达到目标，掌握本课程的职业能力。</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9.数据采集与处理技术应用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设置的项目学习，具有应用工程基础知识和电子信息科学与技术专业基本理论知识解决问题的能力，具有系统的工程实践经历，了解本专业的前沿发展现状和趋势；能够从电子信息行业总体视角去分析、设计、解决相关工程问题，并提出相应的解决方案，设计满足特定需求的系统，并能够在设计环节体现创新意识，考虑社会、健康、安全、法律、 文化以及环境等因素；具有综合应用科学原理并采用科学方法对电子信息科学与技术问题进行研究，包括实验验证、分析与解释数据，并通过信息综合得到合理有效的结论。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主要内容：模拟信号数字化处理；模拟多路开关；测量放大器；采样/保持器与ADC、DAC；数据采集系统设计。</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教学要求：加强对学生实际职业能力的培养，强化案例教学或项目教学，注重以任务引领型案例或项目诱发学生兴趣，使学生在项目活动中掌握相关的知识和技能；以学生为本，注重 “教”与“学”的互动；通过选用典型活动项目，由教师提出要求或示范，组织学生进行活动，让学生在活动中提高实际操作能力；注重职业情景的创设，提高学生岗位适应能力。</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10.数据可视化技术应用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设置的项目学习，了解数据可视化的基本概念、方法和技术，并能够运用到复杂的数据分析工程问题中，解决大数据分析结果的可视化展示问题；熟悉数据可视化流程，掌握主流的数据可视化开发工具，能够综合运用数据获取、分析、视觉修饰、交互控制等技术设计可视化系统，满足特定需求，并在设计中培养学生的创新态度和意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主要内容：数据可视化概述；视觉感知与视觉通道；数据获取和处理；数据可视化基础；可视化工具；D3.js 可视化开发框架；可视化项目开发。</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本课程采用课堂教学、课内实验、可视化项目设计与开发大作业等教学手段和形式完成课程教学任务；基于案例开展课堂教学，通过讲授、提问、讨论、演示等教学方法和手段让学生理解可视化的基本概念和理论；在课内实验环节，通过演示性、设计性、综合性实验使学生掌握可视化系统的开发技术。在大作业教学环节，通过实际项目的开发，使学生掌握可视化系统的设计和实现方法，并在设计中充分发挥学生的主观能动性，培养学生的自主学习能力和创新能力。</w:t>
      </w:r>
    </w:p>
    <w:p>
      <w:pPr>
        <w:numPr>
          <w:ilvl w:val="0"/>
          <w:numId w:val="0"/>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11.</w:t>
      </w:r>
      <w:r>
        <w:rPr>
          <w:rFonts w:hint="eastAsia" w:ascii="仿宋" w:hAnsi="仿宋" w:eastAsia="仿宋" w:cs="仿宋"/>
          <w:sz w:val="30"/>
          <w:szCs w:val="30"/>
        </w:rPr>
        <w:t xml:space="preserve">大数据编程基础 </w:t>
      </w:r>
    </w:p>
    <w:p>
      <w:pPr>
        <w:numPr>
          <w:ilvl w:val="0"/>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课程目标：通过本课程设置的项目学习，培养学生掌握Python程序的运行原理和编程方法，培养学生编程思维与动手能力。通过该课程可以了解Python在大数据项目开发中发挥的重要作用。本课程以理论指导实践，以实践加深理论的理解，循序渐进通过对Python的讲解与实操，让学生对Python编程语言有直观的认识，为数据预处理、数据分析、数据可视化等课程打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Python版本的更迭、开发环境的搭建；基本数据类型与Python特色数据类型Python流程控制与循环语句的运行流程；for循环if语句、continue、break；Python函数定义的方法；面向对象特性、Python类、对象、属性、继承、封装、多态；多进程多线程原理，Python多线程限制、多进程的写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教学要求：加强对学生实际职业能力的培养，强化案例教学或项目教学，注重以任务引领型案例或项目诱发学生兴趣，使学生在项目活动中掌握相关的知识和技能；以学生为本，注重 “教”与“学”的互动；通过选用典型活动项目，由教师提出要求或示范，组织学生进行活动，让学生在活动中提高实际操作能力；注重职业情景的创设，提高学生岗位适应能力。</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 xml:space="preserve">12.市场营销  </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课程目标：通过本课程的学习，使学生能熟悉市场营销活动的基本流程，掌握市场、市场要素、市场调查、营销环境、目标市场、营销策略等基本营销理论知识，能进行市场分析、市场调查、目标市场选择、营销策略选择、市场推广等相关技能操作，树立现代市场营销的基本理念，具备一定的创新精神、团队合作意识以及人际沟通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主要内容：市场要素分析、调查问卷设计、市场调查实施、营销环境分析、消费者行为分析、目标市场选择、产品策略选择、价格策略选择、渠道策略选择、品牌推广策略实施、广告策略实施等。</w:t>
      </w:r>
    </w:p>
    <w:p>
      <w:pPr>
        <w:spacing w:line="560" w:lineRule="exact"/>
        <w:ind w:firstLine="600" w:firstLineChars="200"/>
        <w:rPr>
          <w:rFonts w:eastAsia="黑体"/>
        </w:rPr>
      </w:pPr>
      <w:r>
        <w:rPr>
          <w:rFonts w:hint="eastAsia" w:ascii="仿宋" w:hAnsi="仿宋" w:eastAsia="仿宋" w:cs="仿宋"/>
          <w:sz w:val="30"/>
          <w:szCs w:val="30"/>
        </w:rPr>
        <w:t>教学要求：本课程作为中职电子商务专业的一门核心专业课程，必须以市场营销的实际工作过程为主线设计教学内容，建议教学中要体现“做学一体”的教学理念，主要采用任务引领教学法，结合案例教学，实地调研，角色扮演，情景模拟等教学方法，采用灵活多样的教学技术、手段，构建立体化，多层次的教学体系。</w:t>
      </w:r>
    </w:p>
    <w:p>
      <w:pPr>
        <w:overflowPunct w:val="0"/>
        <w:ind w:firstLine="600" w:firstLineChars="200"/>
        <w:rPr>
          <w:rFonts w:eastAsia="黑体"/>
          <w:sz w:val="30"/>
          <w:szCs w:val="30"/>
        </w:rPr>
      </w:pPr>
      <w:r>
        <w:rPr>
          <w:rFonts w:hint="eastAsia" w:ascii="黑体" w:hAnsi="黑体" w:eastAsia="黑体"/>
          <w:sz w:val="30"/>
          <w:szCs w:val="30"/>
        </w:rPr>
        <w:t>七、教学进程总体安排</w:t>
      </w:r>
    </w:p>
    <w:p>
      <w:pPr>
        <w:spacing w:line="560" w:lineRule="exact"/>
        <w:ind w:firstLine="600" w:firstLineChars="200"/>
        <w:rPr>
          <w:rFonts w:ascii="楷体" w:hAnsi="楷体" w:eastAsia="楷体" w:cs="楷体"/>
          <w:sz w:val="30"/>
          <w:szCs w:val="30"/>
        </w:rPr>
      </w:pPr>
      <w:r>
        <w:rPr>
          <w:rFonts w:hint="eastAsia" w:ascii="楷体" w:hAnsi="楷体" w:eastAsia="楷体" w:cs="楷体"/>
          <w:sz w:val="30"/>
          <w:szCs w:val="30"/>
        </w:rPr>
        <w:t>1.基本要求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每学年为52周，其中教学时间40周（含复习考试），累计假期12周。周学时一般为28学时。顶岗实习按每周30小时（1小时折合1学时）安排。</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公共基础课学时约占总学时的1/3。</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专业技能课学时约占总学时的2/3，在确保学生实习总量的前提下，根据实际需要集中或分阶段安排实习时间。</w:t>
      </w:r>
    </w:p>
    <w:p>
      <w:pPr>
        <w:numPr>
          <w:ilvl w:val="0"/>
          <w:numId w:val="0"/>
        </w:numPr>
        <w:spacing w:line="560" w:lineRule="exact"/>
        <w:ind w:firstLine="600" w:firstLineChars="200"/>
        <w:rPr>
          <w:rFonts w:hint="eastAsia" w:ascii="楷体" w:hAnsi="楷体" w:eastAsia="楷体" w:cs="楷体"/>
          <w:sz w:val="30"/>
          <w:szCs w:val="30"/>
          <w:lang w:val="en-US" w:eastAsia="zh-CN"/>
        </w:rPr>
      </w:pPr>
    </w:p>
    <w:p>
      <w:pPr>
        <w:numPr>
          <w:ilvl w:val="0"/>
          <w:numId w:val="0"/>
        </w:numPr>
        <w:spacing w:line="560" w:lineRule="exact"/>
        <w:ind w:firstLine="600" w:firstLineChars="200"/>
        <w:rPr>
          <w:rFonts w:hint="eastAsia" w:ascii="楷体" w:hAnsi="楷体" w:eastAsia="楷体" w:cs="楷体"/>
          <w:sz w:val="30"/>
          <w:szCs w:val="30"/>
          <w:lang w:val="en-US" w:eastAsia="zh-CN"/>
        </w:rPr>
      </w:pPr>
    </w:p>
    <w:p>
      <w:pPr>
        <w:numPr>
          <w:ilvl w:val="0"/>
          <w:numId w:val="0"/>
        </w:numPr>
        <w:spacing w:line="560" w:lineRule="exact"/>
        <w:ind w:firstLine="600" w:firstLineChars="200"/>
        <w:rPr>
          <w:rFonts w:ascii="楷体" w:hAnsi="楷体" w:eastAsia="楷体" w:cs="楷体"/>
          <w:sz w:val="30"/>
          <w:szCs w:val="30"/>
        </w:rPr>
      </w:pPr>
      <w:r>
        <w:rPr>
          <w:rFonts w:hint="eastAsia" w:ascii="楷体" w:hAnsi="楷体" w:eastAsia="楷体" w:cs="楷体"/>
          <w:sz w:val="30"/>
          <w:szCs w:val="30"/>
          <w:lang w:val="en-US" w:eastAsia="zh-CN"/>
        </w:rPr>
        <w:t>2.</w:t>
      </w:r>
      <w:r>
        <w:rPr>
          <w:rFonts w:hint="eastAsia" w:ascii="楷体" w:hAnsi="楷体" w:eastAsia="楷体" w:cs="楷体"/>
          <w:sz w:val="30"/>
          <w:szCs w:val="30"/>
        </w:rPr>
        <w:t>教学进度计划安排表</w:t>
      </w:r>
    </w:p>
    <w:tbl>
      <w:tblPr>
        <w:tblStyle w:val="19"/>
        <w:tblW w:w="9747" w:type="dxa"/>
        <w:tblInd w:w="93" w:type="dxa"/>
        <w:tblLayout w:type="fixed"/>
        <w:tblCellMar>
          <w:top w:w="0" w:type="dxa"/>
          <w:left w:w="108" w:type="dxa"/>
          <w:bottom w:w="0" w:type="dxa"/>
          <w:right w:w="108" w:type="dxa"/>
        </w:tblCellMar>
      </w:tblPr>
      <w:tblGrid>
        <w:gridCol w:w="387"/>
        <w:gridCol w:w="450"/>
        <w:gridCol w:w="2175"/>
        <w:gridCol w:w="735"/>
        <w:gridCol w:w="660"/>
        <w:gridCol w:w="645"/>
        <w:gridCol w:w="465"/>
        <w:gridCol w:w="465"/>
        <w:gridCol w:w="525"/>
        <w:gridCol w:w="540"/>
        <w:gridCol w:w="585"/>
        <w:gridCol w:w="570"/>
        <w:gridCol w:w="840"/>
        <w:gridCol w:w="705"/>
      </w:tblGrid>
      <w:tr>
        <w:tblPrEx>
          <w:tblCellMar>
            <w:top w:w="0" w:type="dxa"/>
            <w:left w:w="108" w:type="dxa"/>
            <w:bottom w:w="0" w:type="dxa"/>
            <w:right w:w="108" w:type="dxa"/>
          </w:tblCellMar>
        </w:tblPrEx>
        <w:trPr>
          <w:trHeight w:val="470" w:hRule="atLeast"/>
        </w:trPr>
        <w:tc>
          <w:tcPr>
            <w:tcW w:w="9747" w:type="dxa"/>
            <w:gridSpan w:val="14"/>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b/>
                <w:bCs/>
                <w:color w:val="000000"/>
                <w:sz w:val="21"/>
              </w:rPr>
            </w:pPr>
            <w:r>
              <w:rPr>
                <w:rFonts w:hint="eastAsia" w:ascii="黑体" w:hAnsi="黑体" w:eastAsia="黑体" w:cs="黑体"/>
                <w:b/>
                <w:bCs/>
                <w:color w:val="000000"/>
                <w:kern w:val="0"/>
                <w:szCs w:val="24"/>
                <w:lang w:bidi="ar"/>
              </w:rPr>
              <w:t>大数据技术应用专业教学进程计划</w:t>
            </w:r>
          </w:p>
        </w:tc>
      </w:tr>
      <w:tr>
        <w:tblPrEx>
          <w:tblCellMar>
            <w:top w:w="0" w:type="dxa"/>
            <w:left w:w="108" w:type="dxa"/>
            <w:bottom w:w="0" w:type="dxa"/>
            <w:right w:w="108" w:type="dxa"/>
          </w:tblCellMar>
        </w:tblPrEx>
        <w:trPr>
          <w:trHeight w:val="420" w:hRule="atLeast"/>
        </w:trPr>
        <w:tc>
          <w:tcPr>
            <w:tcW w:w="8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专业：</w:t>
            </w:r>
          </w:p>
        </w:tc>
        <w:tc>
          <w:tcPr>
            <w:tcW w:w="21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大数据技术应用</w:t>
            </w:r>
          </w:p>
        </w:tc>
        <w:tc>
          <w:tcPr>
            <w:tcW w:w="20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学制：三年</w:t>
            </w:r>
          </w:p>
        </w:tc>
        <w:tc>
          <w:tcPr>
            <w:tcW w:w="4695"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起点：初中</w:t>
            </w:r>
          </w:p>
        </w:tc>
      </w:tr>
      <w:tr>
        <w:tblPrEx>
          <w:tblCellMar>
            <w:top w:w="0" w:type="dxa"/>
            <w:left w:w="108" w:type="dxa"/>
            <w:bottom w:w="0" w:type="dxa"/>
            <w:right w:w="108" w:type="dxa"/>
          </w:tblCellMar>
        </w:tblPrEx>
        <w:trPr>
          <w:trHeight w:val="420" w:hRule="atLeast"/>
        </w:trPr>
        <w:tc>
          <w:tcPr>
            <w:tcW w:w="387" w:type="dxa"/>
            <w:vMerge w:val="restart"/>
            <w:tcBorders>
              <w:top w:val="single" w:color="auto"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课程模块</w:t>
            </w:r>
          </w:p>
        </w:tc>
        <w:tc>
          <w:tcPr>
            <w:tcW w:w="450" w:type="dxa"/>
            <w:vMerge w:val="restart"/>
            <w:tcBorders>
              <w:top w:val="single" w:color="auto" w:sz="4" w:space="0"/>
              <w:left w:val="single" w:color="000000" w:sz="4" w:space="0"/>
              <w:bottom w:val="single" w:color="000000" w:sz="4" w:space="0"/>
              <w:right w:val="single" w:color="000000"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序 号</w:t>
            </w:r>
          </w:p>
        </w:tc>
        <w:tc>
          <w:tcPr>
            <w:tcW w:w="2175"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课程名称</w:t>
            </w:r>
          </w:p>
        </w:tc>
        <w:tc>
          <w:tcPr>
            <w:tcW w:w="735"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总学时</w:t>
            </w:r>
          </w:p>
        </w:tc>
        <w:tc>
          <w:tcPr>
            <w:tcW w:w="1305" w:type="dxa"/>
            <w:gridSpan w:val="2"/>
            <w:tcBorders>
              <w:top w:val="single" w:color="auto" w:sz="4" w:space="0"/>
              <w:left w:val="single" w:color="000000" w:sz="4" w:space="0"/>
              <w:bottom w:val="nil"/>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学时分配</w:t>
            </w:r>
          </w:p>
        </w:tc>
        <w:tc>
          <w:tcPr>
            <w:tcW w:w="3150" w:type="dxa"/>
            <w:gridSpan w:val="6"/>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各学期学时分配（周学时）</w:t>
            </w:r>
          </w:p>
        </w:tc>
        <w:tc>
          <w:tcPr>
            <w:tcW w:w="840" w:type="dxa"/>
            <w:vMerge w:val="restart"/>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备注</w:t>
            </w:r>
          </w:p>
        </w:tc>
        <w:tc>
          <w:tcPr>
            <w:tcW w:w="70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考试</w:t>
            </w:r>
          </w:p>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学期</w:t>
            </w:r>
          </w:p>
        </w:tc>
      </w:tr>
      <w:tr>
        <w:tblPrEx>
          <w:tblCellMar>
            <w:top w:w="0" w:type="dxa"/>
            <w:left w:w="108" w:type="dxa"/>
            <w:bottom w:w="0" w:type="dxa"/>
            <w:right w:w="108" w:type="dxa"/>
          </w:tblCellMar>
        </w:tblPrEx>
        <w:trPr>
          <w:trHeight w:val="420" w:hRule="atLeast"/>
        </w:trPr>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left"/>
              <w:rPr>
                <w:rFonts w:ascii="宋体" w:hAnsi="宋体" w:cs="宋体"/>
                <w:color w:val="000000"/>
                <w:sz w:val="20"/>
                <w:szCs w:val="20"/>
              </w:rPr>
            </w:pPr>
          </w:p>
        </w:tc>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理</w:t>
            </w:r>
          </w:p>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论</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实</w:t>
            </w:r>
          </w:p>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践</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一</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三</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四</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五</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六</w:t>
            </w: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r>
      <w:tr>
        <w:tblPrEx>
          <w:tblCellMar>
            <w:top w:w="0" w:type="dxa"/>
            <w:left w:w="108" w:type="dxa"/>
            <w:bottom w:w="0" w:type="dxa"/>
            <w:right w:w="108" w:type="dxa"/>
          </w:tblCellMar>
        </w:tblPrEx>
        <w:trPr>
          <w:trHeight w:val="420" w:hRule="atLeast"/>
        </w:trPr>
        <w:tc>
          <w:tcPr>
            <w:tcW w:w="387" w:type="dxa"/>
            <w:vMerge w:val="continue"/>
            <w:tcBorders>
              <w:top w:val="single" w:color="000000" w:sz="4" w:space="0"/>
              <w:left w:val="single" w:color="000000" w:sz="4" w:space="0"/>
              <w:bottom w:val="single" w:color="auto" w:sz="4" w:space="0"/>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left"/>
              <w:rPr>
                <w:rFonts w:ascii="宋体" w:hAnsi="宋体" w:cs="宋体"/>
                <w:color w:val="000000"/>
                <w:sz w:val="20"/>
                <w:szCs w:val="20"/>
              </w:rPr>
            </w:pPr>
          </w:p>
        </w:tc>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r>
      <w:tr>
        <w:tblPrEx>
          <w:tblCellMar>
            <w:top w:w="0" w:type="dxa"/>
            <w:left w:w="108" w:type="dxa"/>
            <w:bottom w:w="0" w:type="dxa"/>
            <w:right w:w="108" w:type="dxa"/>
          </w:tblCellMar>
        </w:tblPrEx>
        <w:trPr>
          <w:trHeight w:val="400" w:hRule="atLeast"/>
        </w:trPr>
        <w:tc>
          <w:tcPr>
            <w:tcW w:w="387"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公共基础课</w:t>
            </w: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国防教育</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顶岗实习</w:t>
            </w:r>
          </w:p>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（20周）</w:t>
            </w: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军训</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劳动教育</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bidi="ar"/>
              </w:rPr>
              <w:t>4</w:t>
            </w:r>
            <w:r>
              <w:rPr>
                <w:rFonts w:hint="eastAsia" w:ascii="宋体" w:hAnsi="宋体" w:cs="宋体"/>
                <w:color w:val="000000"/>
                <w:kern w:val="0"/>
                <w:sz w:val="20"/>
                <w:szCs w:val="20"/>
                <w:lang w:val="en-US" w:eastAsia="zh-CN"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劳动周</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中国特色社会主义</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心理健康与职业生涯</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哲学与人生</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职业道德与法治</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语文</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数学</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英语</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体育与健康</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r>
      <w:tr>
        <w:tblPrEx>
          <w:tblCellMar>
            <w:top w:w="0" w:type="dxa"/>
            <w:left w:w="108" w:type="dxa"/>
            <w:bottom w:w="0" w:type="dxa"/>
            <w:right w:w="108" w:type="dxa"/>
          </w:tblCellMar>
        </w:tblPrEx>
        <w:trPr>
          <w:trHeight w:val="405"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历史</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信息技术</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00" w:hRule="atLeast"/>
        </w:trPr>
        <w:tc>
          <w:tcPr>
            <w:tcW w:w="387" w:type="dxa"/>
            <w:vMerge w:val="continue"/>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艺术</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w:t>
            </w:r>
            <w:r>
              <w:rPr>
                <w:rFonts w:ascii="宋体" w:hAnsi="宋体" w:cs="宋体"/>
                <w:color w:val="000000"/>
                <w:kern w:val="0"/>
                <w:sz w:val="20"/>
                <w:szCs w:val="20"/>
                <w:lang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r>
              <w:rPr>
                <w:rFonts w:hint="eastAsia" w:ascii="宋体" w:hAnsi="宋体" w:cs="宋体"/>
                <w:color w:val="000000"/>
                <w:sz w:val="20"/>
                <w:szCs w:val="20"/>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restart"/>
            <w:tcBorders>
              <w:top w:val="single" w:color="auto" w:sz="4" w:space="0"/>
              <w:left w:val="single" w:color="000000" w:sz="4" w:space="0"/>
              <w:bottom w:val="nil"/>
              <w:right w:val="single" w:color="000000" w:sz="4" w:space="0"/>
            </w:tcBorders>
            <w:shd w:val="clear" w:color="auto" w:fill="auto"/>
            <w:noWrap/>
            <w:textDirection w:val="tbRlV"/>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专业基础课</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sz w:val="20"/>
                <w:szCs w:val="20"/>
              </w:rPr>
              <w:t>网页设计与制作</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sz w:val="20"/>
                <w:szCs w:val="20"/>
              </w:rPr>
              <w:t>操作系统基础</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计算机编程基础</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nil"/>
              <w:left w:val="nil"/>
              <w:bottom w:val="nil"/>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图形图像处理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数据库应用基础</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6</w:t>
            </w:r>
            <w:r>
              <w:rPr>
                <w:rFonts w:hint="eastAsia" w:ascii="宋体" w:hAnsi="宋体" w:cs="宋体"/>
                <w:color w:val="000000"/>
                <w:kern w:val="0"/>
                <w:sz w:val="20"/>
                <w:szCs w:val="20"/>
                <w:lang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2</w:t>
            </w:r>
            <w:r>
              <w:rPr>
                <w:rFonts w:hint="eastAsia" w:ascii="宋体" w:hAnsi="宋体" w:cs="宋体"/>
                <w:color w:val="000000"/>
                <w:kern w:val="0"/>
                <w:sz w:val="20"/>
                <w:szCs w:val="20"/>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3</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9</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sz w:val="20"/>
                <w:szCs w:val="20"/>
              </w:rPr>
              <w:t>计算机网络技术基础</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6</w:t>
            </w:r>
            <w:r>
              <w:rPr>
                <w:rFonts w:hint="eastAsia" w:ascii="宋体" w:hAnsi="宋体" w:cs="宋体"/>
                <w:color w:val="000000"/>
                <w:kern w:val="0"/>
                <w:sz w:val="20"/>
                <w:szCs w:val="20"/>
                <w:lang w:bidi="ar"/>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4</w:t>
            </w:r>
            <w:r>
              <w:rPr>
                <w:rFonts w:hint="eastAsia" w:ascii="宋体" w:hAnsi="宋体" w:cs="宋体"/>
                <w:color w:val="000000"/>
                <w:kern w:val="0"/>
                <w:sz w:val="20"/>
                <w:szCs w:val="20"/>
                <w:lang w:bidi="ar"/>
              </w:rPr>
              <w:t>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3</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restart"/>
            <w:tcBorders>
              <w:top w:val="single" w:color="000000" w:sz="4" w:space="0"/>
              <w:left w:val="single" w:color="000000" w:sz="4" w:space="0"/>
              <w:bottom w:val="nil"/>
              <w:right w:val="single" w:color="000000" w:sz="4" w:space="0"/>
            </w:tcBorders>
            <w:shd w:val="clear" w:color="auto" w:fill="auto"/>
            <w:textDirection w:val="tbRlV"/>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核心专业课</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20</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18"/>
                <w:szCs w:val="18"/>
                <w:lang w:bidi="ar"/>
              </w:rPr>
              <w:t>数据库应用与数据分析</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考试</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spacing w:line="240" w:lineRule="auto"/>
              <w:ind w:firstLine="0"/>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18"/>
                <w:szCs w:val="18"/>
                <w:lang w:bidi="ar"/>
              </w:rPr>
              <w:t>Web 前端开发技术应用</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考试</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spacing w:line="240" w:lineRule="auto"/>
              <w:ind w:firstLine="0"/>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textAlignment w:val="center"/>
              <w:rPr>
                <w:rFonts w:ascii="宋体" w:hAnsi="宋体" w:cs="宋体"/>
                <w:color w:val="000000"/>
                <w:sz w:val="20"/>
                <w:szCs w:val="20"/>
              </w:rPr>
            </w:pPr>
            <w:r>
              <w:rPr>
                <w:rFonts w:hint="eastAsia" w:ascii="宋体" w:hAnsi="宋体" w:cs="宋体"/>
                <w:color w:val="000000"/>
                <w:kern w:val="0"/>
                <w:sz w:val="18"/>
                <w:szCs w:val="18"/>
                <w:lang w:bidi="ar"/>
              </w:rPr>
              <w:t>数据采集与处理技术应用</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spacing w:line="240" w:lineRule="auto"/>
              <w:ind w:firstLine="0"/>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数据可视化技术应用</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87"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spacing w:line="240" w:lineRule="auto"/>
              <w:ind w:firstLine="0"/>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4</w:t>
            </w:r>
          </w:p>
        </w:tc>
        <w:tc>
          <w:tcPr>
            <w:tcW w:w="2175" w:type="dxa"/>
            <w:tcBorders>
              <w:top w:val="single" w:color="000000" w:sz="4" w:space="0"/>
              <w:left w:val="single" w:color="000000" w:sz="4" w:space="0"/>
              <w:bottom w:val="nil"/>
              <w:right w:val="single" w:color="000000" w:sz="4" w:space="0"/>
            </w:tcBorders>
            <w:shd w:val="clear" w:color="auto" w:fill="auto"/>
            <w:noWrap/>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大数据编程基础</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考试</w:t>
            </w:r>
          </w:p>
        </w:tc>
      </w:tr>
      <w:tr>
        <w:tblPrEx>
          <w:tblCellMar>
            <w:top w:w="0" w:type="dxa"/>
            <w:left w:w="108" w:type="dxa"/>
            <w:bottom w:w="0" w:type="dxa"/>
            <w:right w:w="108" w:type="dxa"/>
          </w:tblCellMar>
        </w:tblPrEx>
        <w:trPr>
          <w:trHeight w:val="440" w:hRule="atLeast"/>
        </w:trPr>
        <w:tc>
          <w:tcPr>
            <w:tcW w:w="387"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spacing w:line="240" w:lineRule="auto"/>
              <w:ind w:firstLine="0"/>
              <w:rPr>
                <w:rFonts w:ascii="宋体" w:hAnsi="宋体" w:cs="宋体"/>
                <w:color w:val="000000"/>
                <w:sz w:val="20"/>
                <w:szCs w:val="20"/>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r>
              <w:rPr>
                <w:rFonts w:ascii="宋体" w:hAnsi="宋体" w:cs="宋体"/>
                <w:color w:val="000000"/>
                <w:kern w:val="0"/>
                <w:sz w:val="20"/>
                <w:szCs w:val="20"/>
                <w:lang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市场营销</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465" w:type="dxa"/>
            <w:tcBorders>
              <w:top w:val="single" w:color="000000" w:sz="4" w:space="0"/>
              <w:left w:val="single" w:color="000000" w:sz="4" w:space="0"/>
              <w:bottom w:val="single" w:color="000000" w:sz="4" w:space="0"/>
              <w:right w:val="nil"/>
            </w:tcBorders>
            <w:shd w:val="clear" w:color="auto" w:fill="auto"/>
            <w:noWrap/>
            <w:vAlign w:val="center"/>
          </w:tcPr>
          <w:p>
            <w:pPr>
              <w:spacing w:line="240" w:lineRule="auto"/>
              <w:ind w:firstLine="0"/>
              <w:jc w:val="center"/>
              <w:rPr>
                <w:rFonts w:ascii="宋体" w:hAnsi="宋体" w:cs="宋体"/>
                <w:color w:val="000000"/>
                <w:sz w:val="20"/>
                <w:szCs w:val="20"/>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jc w:val="center"/>
              <w:rPr>
                <w:rFonts w:ascii="宋体" w:hAnsi="宋体" w:cs="宋体"/>
                <w:color w:val="000000"/>
                <w:sz w:val="20"/>
                <w:szCs w:val="20"/>
              </w:rPr>
            </w:pPr>
          </w:p>
        </w:tc>
        <w:tc>
          <w:tcPr>
            <w:tcW w:w="540" w:type="dxa"/>
            <w:tcBorders>
              <w:top w:val="single" w:color="000000" w:sz="4" w:space="0"/>
              <w:left w:val="nil"/>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必修</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考查</w:t>
            </w:r>
          </w:p>
        </w:tc>
      </w:tr>
      <w:tr>
        <w:tblPrEx>
          <w:tblCellMar>
            <w:top w:w="0" w:type="dxa"/>
            <w:left w:w="108" w:type="dxa"/>
            <w:bottom w:w="0" w:type="dxa"/>
            <w:right w:w="108" w:type="dxa"/>
          </w:tblCellMar>
        </w:tblPrEx>
        <w:trPr>
          <w:trHeight w:val="460" w:hRule="atLeast"/>
        </w:trPr>
        <w:tc>
          <w:tcPr>
            <w:tcW w:w="301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总   学  时</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kern w:val="0"/>
                <w:sz w:val="20"/>
                <w:szCs w:val="20"/>
                <w:lang w:val="en-US" w:eastAsia="zh-CN" w:bidi="ar"/>
              </w:rPr>
              <w:t>3160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250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ascii="宋体" w:hAnsi="宋体" w:cs="宋体"/>
                <w:color w:val="000000"/>
                <w:kern w:val="0"/>
                <w:sz w:val="20"/>
                <w:szCs w:val="20"/>
                <w:lang w:bidi="ar"/>
              </w:rPr>
              <w:t>1350</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560</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spacing w:line="240" w:lineRule="auto"/>
              <w:ind w:firstLine="0"/>
              <w:jc w:val="center"/>
              <w:rPr>
                <w:rFonts w:ascii="宋体" w:hAnsi="宋体" w:cs="宋体"/>
                <w:color w:val="000000"/>
                <w:sz w:val="20"/>
                <w:szCs w:val="20"/>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firstLine="0"/>
              <w:jc w:val="center"/>
              <w:rPr>
                <w:rFonts w:ascii="宋体" w:hAnsi="宋体" w:cs="宋体"/>
                <w:color w:val="000000"/>
                <w:sz w:val="20"/>
                <w:szCs w:val="20"/>
              </w:rPr>
            </w:pPr>
          </w:p>
        </w:tc>
      </w:tr>
    </w:tbl>
    <w:p>
      <w:pPr>
        <w:overflowPunct w:val="0"/>
        <w:ind w:left="0" w:leftChars="0" w:firstLine="600" w:firstLineChars="200"/>
        <w:rPr>
          <w:rFonts w:eastAsia="黑体"/>
          <w:sz w:val="30"/>
          <w:szCs w:val="30"/>
        </w:rPr>
      </w:pPr>
      <w:r>
        <w:rPr>
          <w:rFonts w:hint="eastAsia" w:ascii="黑体" w:hAnsi="黑体" w:eastAsia="黑体"/>
          <w:sz w:val="30"/>
          <w:szCs w:val="30"/>
        </w:rPr>
        <w:t>八、实施保障</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（一）师资队伍</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主要包括师资队伍、教学设施、教学资源、教学方法、学习评价、质量管理等方面。</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val="en-US" w:eastAsia="zh-CN"/>
        </w:rPr>
        <w:t>.</w:t>
      </w:r>
      <w:r>
        <w:rPr>
          <w:rFonts w:hint="eastAsia" w:ascii="仿宋" w:hAnsi="仿宋" w:eastAsia="仿宋" w:cs="仿宋"/>
          <w:sz w:val="30"/>
          <w:szCs w:val="30"/>
        </w:rPr>
        <w:t>队伍结构</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我系与大数据技术与应用相关的专业拥有一支年龄结构、学历结构、职称结构合理以及专业技能精湛的师资团队，现拥有教职工44人，其中高级职称、高级技师、技师占72%，双师型教师占50%以上。这些教师具有丰富的教学工作经验，具有与高技能人才培养相适应的教学研发能力和技能实训指导能力。组建了一支由专任教师、行业企业兼职教师组成的“专兼结合”的教学团队，以满足日常教学的需要。专业核心课程应由校内专任专业教师和行业兼职教师共同完成教学，其中，实践实训部分应以行业兼职教师指导为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2.专任教师</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⑴遵守国家法律法规，具有良好的职业道德和敬业精神；</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⑵具有高校教师资格和本专业领域有关证书；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⑶有理想信念、有道德情操、有扎实学识、有仁爱之心；</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⑷具有相关专业本科及以上学历；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⑸具有扎实的本专业相关理论功底和实践能力；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⑹具有较强的信息化教学能力，能够开展课程教学改革和科学研究。</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3.专业带头人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能够较好地把握国内行业、专业发展，能广泛联系行业企业，了解行业企业对本专业人才的需求实际，教学设计、专业研究能力较强，组织开展教科研工作能力较强，在本区域具有一定的专业影响力。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4.兼职教师</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（1）遵守国家法律法规，具备良好的思想政治素质、职业道德和工匠精神；</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（2）具有扎实的专业知识和丰富的实际工作经验；</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（3）能承担专业课程教学、实习实训指导和学生职业发展规划指导等教学任务。</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（二）教学设施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1.教室要求 </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多媒体教室配置要求</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2496"/>
        <w:gridCol w:w="1995"/>
        <w:gridCol w:w="3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494"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序号</w:t>
            </w:r>
          </w:p>
          <w:p>
            <w:pPr>
              <w:spacing w:line="240" w:lineRule="auto"/>
              <w:ind w:firstLine="0"/>
              <w:jc w:val="center"/>
              <w:rPr>
                <w:rFonts w:ascii="黑体" w:hAnsi="黑体" w:eastAsia="黑体" w:cs="黑体"/>
                <w:szCs w:val="24"/>
              </w:rPr>
            </w:pPr>
          </w:p>
        </w:tc>
        <w:tc>
          <w:tcPr>
            <w:tcW w:w="2496"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项目</w:t>
            </w:r>
          </w:p>
          <w:p>
            <w:pPr>
              <w:spacing w:line="240" w:lineRule="auto"/>
              <w:ind w:firstLine="0"/>
              <w:jc w:val="center"/>
              <w:rPr>
                <w:rFonts w:ascii="黑体" w:hAnsi="黑体" w:eastAsia="黑体" w:cs="黑体"/>
                <w:szCs w:val="24"/>
              </w:rPr>
            </w:pPr>
          </w:p>
        </w:tc>
        <w:tc>
          <w:tcPr>
            <w:tcW w:w="199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规格</w:t>
            </w:r>
          </w:p>
          <w:p>
            <w:pPr>
              <w:spacing w:line="240" w:lineRule="auto"/>
              <w:ind w:firstLine="0"/>
              <w:jc w:val="center"/>
              <w:rPr>
                <w:rFonts w:ascii="黑体" w:hAnsi="黑体" w:eastAsia="黑体" w:cs="黑体"/>
                <w:szCs w:val="24"/>
              </w:rPr>
            </w:pPr>
          </w:p>
        </w:tc>
        <w:tc>
          <w:tcPr>
            <w:tcW w:w="3587"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参数、数量</w:t>
            </w:r>
          </w:p>
          <w:p>
            <w:pPr>
              <w:spacing w:line="240" w:lineRule="auto"/>
              <w:ind w:firstLine="0"/>
              <w:jc w:val="center"/>
              <w:rPr>
                <w:rFonts w:ascii="黑体" w:hAnsi="黑体" w:eastAsia="黑体" w:cs="黑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494" w:type="dxa"/>
            <w:vAlign w:val="center"/>
          </w:tcPr>
          <w:p>
            <w:pPr>
              <w:spacing w:line="240" w:lineRule="auto"/>
              <w:rPr>
                <w:rFonts w:ascii="宋体" w:hAnsi="宋体" w:cs="宋体"/>
                <w:sz w:val="21"/>
              </w:rPr>
            </w:pPr>
            <w:r>
              <w:rPr>
                <w:rFonts w:hint="eastAsia" w:ascii="宋体" w:hAnsi="宋体" w:cs="宋体"/>
                <w:sz w:val="21"/>
              </w:rPr>
              <w:t>1</w:t>
            </w:r>
          </w:p>
        </w:tc>
        <w:tc>
          <w:tcPr>
            <w:tcW w:w="2496" w:type="dxa"/>
            <w:vAlign w:val="center"/>
          </w:tcPr>
          <w:p>
            <w:pPr>
              <w:spacing w:line="240" w:lineRule="auto"/>
              <w:ind w:firstLine="0"/>
              <w:jc w:val="center"/>
              <w:rPr>
                <w:rFonts w:ascii="宋体" w:hAnsi="宋体" w:cs="宋体"/>
                <w:sz w:val="21"/>
              </w:rPr>
            </w:pPr>
            <w:r>
              <w:rPr>
                <w:rFonts w:hint="eastAsia" w:ascii="宋体" w:hAnsi="宋体" w:cs="宋体"/>
                <w:sz w:val="21"/>
              </w:rPr>
              <w:t>台式电脑</w:t>
            </w:r>
          </w:p>
        </w:tc>
        <w:tc>
          <w:tcPr>
            <w:tcW w:w="1995" w:type="dxa"/>
            <w:vAlign w:val="center"/>
          </w:tcPr>
          <w:p>
            <w:pPr>
              <w:spacing w:line="240" w:lineRule="auto"/>
              <w:ind w:firstLine="0"/>
              <w:jc w:val="center"/>
              <w:rPr>
                <w:rFonts w:ascii="宋体" w:hAnsi="宋体" w:cs="宋体"/>
                <w:sz w:val="21"/>
              </w:rPr>
            </w:pPr>
            <w:r>
              <w:rPr>
                <w:rFonts w:hint="eastAsia" w:ascii="宋体" w:hAnsi="宋体" w:cs="宋体"/>
                <w:sz w:val="21"/>
              </w:rPr>
              <w:t>兼容机</w:t>
            </w:r>
          </w:p>
        </w:tc>
        <w:tc>
          <w:tcPr>
            <w:tcW w:w="3587" w:type="dxa"/>
            <w:vAlign w:val="center"/>
          </w:tcPr>
          <w:p>
            <w:pPr>
              <w:spacing w:line="240" w:lineRule="auto"/>
              <w:ind w:firstLine="0"/>
              <w:jc w:val="center"/>
              <w:rPr>
                <w:rFonts w:ascii="宋体" w:hAnsi="宋体" w:cs="宋体"/>
                <w:sz w:val="21"/>
              </w:rPr>
            </w:pPr>
            <w:r>
              <w:rPr>
                <w:rFonts w:hint="eastAsia" w:ascii="宋体" w:hAnsi="宋体" w:cs="宋体"/>
                <w:sz w:val="21"/>
              </w:rPr>
              <w:t>CPU：I5 以上配置，内存 8G 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494" w:type="dxa"/>
            <w:vAlign w:val="center"/>
          </w:tcPr>
          <w:p>
            <w:pPr>
              <w:spacing w:line="240" w:lineRule="auto"/>
              <w:ind w:firstLine="0"/>
              <w:jc w:val="center"/>
              <w:rPr>
                <w:rFonts w:ascii="宋体" w:hAnsi="宋体" w:cs="宋体"/>
                <w:sz w:val="21"/>
              </w:rPr>
            </w:pPr>
            <w:r>
              <w:rPr>
                <w:rFonts w:hint="eastAsia" w:ascii="宋体" w:hAnsi="宋体" w:cs="宋体"/>
                <w:sz w:val="21"/>
              </w:rPr>
              <w:t>2</w:t>
            </w:r>
          </w:p>
        </w:tc>
        <w:tc>
          <w:tcPr>
            <w:tcW w:w="2496" w:type="dxa"/>
            <w:vAlign w:val="center"/>
          </w:tcPr>
          <w:p>
            <w:pPr>
              <w:spacing w:line="240" w:lineRule="auto"/>
              <w:ind w:firstLine="0"/>
              <w:jc w:val="center"/>
              <w:rPr>
                <w:rFonts w:ascii="宋体" w:hAnsi="宋体" w:cs="宋体"/>
                <w:sz w:val="21"/>
              </w:rPr>
            </w:pPr>
            <w:r>
              <w:rPr>
                <w:rFonts w:hint="eastAsia" w:ascii="宋体" w:hAnsi="宋体" w:cs="宋体"/>
                <w:sz w:val="21"/>
              </w:rPr>
              <w:t>投影屏幕</w:t>
            </w:r>
          </w:p>
        </w:tc>
        <w:tc>
          <w:tcPr>
            <w:tcW w:w="1995" w:type="dxa"/>
            <w:vAlign w:val="center"/>
          </w:tcPr>
          <w:p>
            <w:pPr>
              <w:spacing w:line="240" w:lineRule="auto"/>
              <w:ind w:firstLine="0"/>
              <w:jc w:val="center"/>
              <w:rPr>
                <w:rFonts w:ascii="宋体" w:hAnsi="宋体" w:cs="宋体"/>
                <w:sz w:val="21"/>
              </w:rPr>
            </w:pPr>
            <w:r>
              <w:rPr>
                <w:rFonts w:hint="eastAsia" w:ascii="宋体" w:hAnsi="宋体" w:cs="宋体"/>
                <w:sz w:val="21"/>
              </w:rPr>
              <w:t>红叶</w:t>
            </w:r>
          </w:p>
        </w:tc>
        <w:tc>
          <w:tcPr>
            <w:tcW w:w="3587" w:type="dxa"/>
            <w:vAlign w:val="center"/>
          </w:tcPr>
          <w:p>
            <w:pPr>
              <w:spacing w:line="240" w:lineRule="auto"/>
              <w:ind w:firstLine="0"/>
              <w:jc w:val="center"/>
              <w:rPr>
                <w:rFonts w:ascii="宋体" w:hAnsi="宋体" w:cs="宋体"/>
                <w:sz w:val="21"/>
              </w:rPr>
            </w:pPr>
            <w:r>
              <w:rPr>
                <w:rFonts w:hint="eastAsia" w:ascii="宋体" w:hAnsi="宋体" w:cs="宋体"/>
                <w:sz w:val="21"/>
              </w:rPr>
              <w:t>150 英寸屏幕 1 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94" w:type="dxa"/>
            <w:vAlign w:val="center"/>
          </w:tcPr>
          <w:p>
            <w:pPr>
              <w:spacing w:line="240" w:lineRule="auto"/>
              <w:ind w:firstLine="0"/>
              <w:jc w:val="center"/>
              <w:rPr>
                <w:rFonts w:ascii="宋体" w:hAnsi="宋体" w:cs="宋体"/>
                <w:sz w:val="21"/>
              </w:rPr>
            </w:pPr>
            <w:r>
              <w:rPr>
                <w:rFonts w:hint="eastAsia" w:ascii="宋体" w:hAnsi="宋体" w:cs="宋体"/>
                <w:sz w:val="21"/>
              </w:rPr>
              <w:t>3</w:t>
            </w:r>
          </w:p>
        </w:tc>
        <w:tc>
          <w:tcPr>
            <w:tcW w:w="2496" w:type="dxa"/>
            <w:vAlign w:val="center"/>
          </w:tcPr>
          <w:p>
            <w:pPr>
              <w:spacing w:line="240" w:lineRule="auto"/>
              <w:ind w:firstLine="0"/>
              <w:jc w:val="center"/>
              <w:rPr>
                <w:rFonts w:ascii="宋体" w:hAnsi="宋体" w:cs="宋体"/>
                <w:sz w:val="21"/>
              </w:rPr>
            </w:pPr>
            <w:r>
              <w:rPr>
                <w:rFonts w:hint="eastAsia" w:ascii="宋体" w:hAnsi="宋体" w:cs="宋体"/>
                <w:sz w:val="21"/>
              </w:rPr>
              <w:t>投影机</w:t>
            </w:r>
          </w:p>
        </w:tc>
        <w:tc>
          <w:tcPr>
            <w:tcW w:w="1995" w:type="dxa"/>
            <w:vAlign w:val="center"/>
          </w:tcPr>
          <w:p>
            <w:pPr>
              <w:spacing w:line="240" w:lineRule="auto"/>
              <w:ind w:firstLine="0"/>
              <w:jc w:val="center"/>
              <w:rPr>
                <w:rFonts w:ascii="宋体" w:hAnsi="宋体" w:cs="宋体"/>
                <w:sz w:val="21"/>
              </w:rPr>
            </w:pPr>
            <w:r>
              <w:rPr>
                <w:rFonts w:hint="eastAsia" w:ascii="宋体" w:hAnsi="宋体" w:cs="宋体"/>
                <w:sz w:val="21"/>
              </w:rPr>
              <w:t>爱普生</w:t>
            </w:r>
          </w:p>
        </w:tc>
        <w:tc>
          <w:tcPr>
            <w:tcW w:w="3587" w:type="dxa"/>
            <w:vAlign w:val="center"/>
          </w:tcPr>
          <w:p>
            <w:pPr>
              <w:spacing w:line="240" w:lineRule="auto"/>
              <w:ind w:firstLine="0"/>
              <w:jc w:val="center"/>
              <w:rPr>
                <w:rFonts w:ascii="宋体" w:hAnsi="宋体" w:cs="宋体"/>
                <w:sz w:val="21"/>
              </w:rPr>
            </w:pPr>
            <w:r>
              <w:rPr>
                <w:rFonts w:hint="eastAsia" w:ascii="宋体" w:hAnsi="宋体" w:cs="宋体"/>
                <w:sz w:val="21"/>
              </w:rPr>
              <w:t>标称光亮度：3000 流明，分辨率：1024*768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494" w:type="dxa"/>
            <w:vAlign w:val="center"/>
          </w:tcPr>
          <w:p>
            <w:pPr>
              <w:spacing w:line="240" w:lineRule="auto"/>
              <w:ind w:firstLine="0"/>
              <w:jc w:val="center"/>
              <w:rPr>
                <w:rFonts w:ascii="宋体" w:hAnsi="宋体" w:cs="宋体"/>
                <w:sz w:val="21"/>
              </w:rPr>
            </w:pPr>
            <w:r>
              <w:rPr>
                <w:rFonts w:hint="eastAsia" w:ascii="宋体" w:hAnsi="宋体" w:cs="宋体"/>
                <w:sz w:val="21"/>
              </w:rPr>
              <w:t>4</w:t>
            </w:r>
          </w:p>
        </w:tc>
        <w:tc>
          <w:tcPr>
            <w:tcW w:w="2496" w:type="dxa"/>
            <w:vAlign w:val="center"/>
          </w:tcPr>
          <w:p>
            <w:pPr>
              <w:spacing w:line="240" w:lineRule="auto"/>
              <w:ind w:firstLine="0"/>
              <w:jc w:val="center"/>
              <w:rPr>
                <w:rFonts w:ascii="宋体" w:hAnsi="宋体" w:cs="宋体"/>
                <w:sz w:val="21"/>
              </w:rPr>
            </w:pPr>
            <w:r>
              <w:rPr>
                <w:rFonts w:hint="eastAsia" w:ascii="宋体" w:hAnsi="宋体" w:cs="宋体"/>
                <w:sz w:val="21"/>
              </w:rPr>
              <w:t>多媒体讲台</w:t>
            </w:r>
          </w:p>
        </w:tc>
        <w:tc>
          <w:tcPr>
            <w:tcW w:w="1995" w:type="dxa"/>
            <w:vAlign w:val="center"/>
          </w:tcPr>
          <w:p>
            <w:pPr>
              <w:spacing w:line="240" w:lineRule="auto"/>
              <w:ind w:firstLine="0"/>
              <w:jc w:val="center"/>
              <w:rPr>
                <w:rFonts w:ascii="宋体" w:hAnsi="宋体" w:cs="宋体"/>
                <w:sz w:val="21"/>
              </w:rPr>
            </w:pPr>
            <w:r>
              <w:rPr>
                <w:rFonts w:hint="eastAsia" w:ascii="宋体" w:hAnsi="宋体" w:cs="宋体"/>
                <w:sz w:val="21"/>
              </w:rPr>
              <w:t>2.5 米</w:t>
            </w:r>
          </w:p>
        </w:tc>
        <w:tc>
          <w:tcPr>
            <w:tcW w:w="3587" w:type="dxa"/>
            <w:vAlign w:val="center"/>
          </w:tcPr>
          <w:p>
            <w:pPr>
              <w:spacing w:line="240" w:lineRule="auto"/>
              <w:ind w:firstLine="0"/>
              <w:jc w:val="center"/>
              <w:rPr>
                <w:rFonts w:ascii="宋体" w:hAnsi="宋体" w:cs="宋体"/>
                <w:sz w:val="21"/>
              </w:rPr>
            </w:pPr>
            <w:r>
              <w:rPr>
                <w:rFonts w:hint="eastAsia" w:ascii="宋体" w:hAnsi="宋体" w:cs="宋体"/>
                <w:sz w:val="21"/>
              </w:rPr>
              <w:t>尺寸：1400*730*980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94" w:type="dxa"/>
            <w:vAlign w:val="center"/>
          </w:tcPr>
          <w:p>
            <w:pPr>
              <w:spacing w:line="240" w:lineRule="auto"/>
              <w:ind w:firstLine="0"/>
              <w:jc w:val="center"/>
              <w:rPr>
                <w:rFonts w:ascii="宋体" w:hAnsi="宋体" w:cs="宋体"/>
                <w:sz w:val="21"/>
              </w:rPr>
            </w:pPr>
            <w:r>
              <w:rPr>
                <w:rFonts w:hint="eastAsia" w:ascii="宋体" w:hAnsi="宋体" w:cs="宋体"/>
                <w:sz w:val="21"/>
              </w:rPr>
              <w:t>5</w:t>
            </w:r>
          </w:p>
        </w:tc>
        <w:tc>
          <w:tcPr>
            <w:tcW w:w="2496" w:type="dxa"/>
            <w:vAlign w:val="center"/>
          </w:tcPr>
          <w:p>
            <w:pPr>
              <w:spacing w:line="240" w:lineRule="auto"/>
              <w:ind w:firstLine="0"/>
              <w:jc w:val="center"/>
              <w:rPr>
                <w:rFonts w:ascii="宋体" w:hAnsi="宋体" w:cs="宋体"/>
                <w:sz w:val="21"/>
              </w:rPr>
            </w:pPr>
            <w:r>
              <w:rPr>
                <w:rFonts w:hint="eastAsia" w:ascii="宋体" w:hAnsi="宋体" w:cs="宋体"/>
                <w:sz w:val="21"/>
              </w:rPr>
              <w:t>音箱、功放</w:t>
            </w:r>
          </w:p>
        </w:tc>
        <w:tc>
          <w:tcPr>
            <w:tcW w:w="1995" w:type="dxa"/>
            <w:vAlign w:val="center"/>
          </w:tcPr>
          <w:p>
            <w:pPr>
              <w:spacing w:line="240" w:lineRule="auto"/>
              <w:ind w:firstLine="0"/>
              <w:jc w:val="center"/>
              <w:rPr>
                <w:rFonts w:ascii="宋体" w:hAnsi="宋体" w:cs="宋体"/>
                <w:sz w:val="21"/>
              </w:rPr>
            </w:pPr>
            <w:r>
              <w:rPr>
                <w:rFonts w:hint="eastAsia" w:ascii="宋体" w:hAnsi="宋体" w:cs="宋体"/>
                <w:sz w:val="21"/>
              </w:rPr>
              <w:t>1 套</w:t>
            </w:r>
          </w:p>
        </w:tc>
        <w:tc>
          <w:tcPr>
            <w:tcW w:w="3587" w:type="dxa"/>
            <w:vAlign w:val="center"/>
          </w:tcPr>
          <w:p>
            <w:pPr>
              <w:spacing w:line="240" w:lineRule="auto"/>
              <w:ind w:firstLine="0"/>
              <w:jc w:val="center"/>
              <w:rPr>
                <w:rFonts w:ascii="宋体" w:hAnsi="宋体" w:cs="宋体"/>
                <w:sz w:val="21"/>
              </w:rPr>
            </w:pPr>
            <w:r>
              <w:rPr>
                <w:rFonts w:hint="eastAsia" w:ascii="宋体" w:hAnsi="宋体" w:cs="宋体"/>
                <w:sz w:val="21"/>
              </w:rPr>
              <w:t>150W 输出功率的专业功放专业音箱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494" w:type="dxa"/>
            <w:vAlign w:val="center"/>
          </w:tcPr>
          <w:p>
            <w:pPr>
              <w:spacing w:line="240" w:lineRule="auto"/>
              <w:ind w:firstLine="0"/>
              <w:jc w:val="center"/>
              <w:rPr>
                <w:rFonts w:ascii="宋体" w:hAnsi="宋体" w:cs="宋体"/>
                <w:sz w:val="21"/>
              </w:rPr>
            </w:pPr>
            <w:r>
              <w:rPr>
                <w:rFonts w:hint="eastAsia" w:ascii="宋体" w:hAnsi="宋体" w:cs="宋体"/>
                <w:sz w:val="21"/>
              </w:rPr>
              <w:t>6</w:t>
            </w:r>
          </w:p>
        </w:tc>
        <w:tc>
          <w:tcPr>
            <w:tcW w:w="2496" w:type="dxa"/>
            <w:vAlign w:val="center"/>
          </w:tcPr>
          <w:p>
            <w:pPr>
              <w:spacing w:line="240" w:lineRule="auto"/>
              <w:ind w:firstLine="0"/>
              <w:jc w:val="center"/>
              <w:rPr>
                <w:rFonts w:ascii="宋体" w:hAnsi="宋体" w:cs="宋体"/>
                <w:sz w:val="21"/>
              </w:rPr>
            </w:pPr>
            <w:r>
              <w:rPr>
                <w:rFonts w:hint="eastAsia" w:ascii="宋体" w:hAnsi="宋体" w:cs="宋体"/>
                <w:sz w:val="21"/>
              </w:rPr>
              <w:t>桌椅</w:t>
            </w:r>
          </w:p>
        </w:tc>
        <w:tc>
          <w:tcPr>
            <w:tcW w:w="1995" w:type="dxa"/>
            <w:vAlign w:val="center"/>
          </w:tcPr>
          <w:p>
            <w:pPr>
              <w:spacing w:line="240" w:lineRule="auto"/>
              <w:ind w:firstLine="0"/>
              <w:jc w:val="center"/>
              <w:rPr>
                <w:rFonts w:ascii="宋体" w:hAnsi="宋体" w:cs="宋体"/>
                <w:sz w:val="21"/>
              </w:rPr>
            </w:pPr>
            <w:r>
              <w:rPr>
                <w:rFonts w:hint="eastAsia" w:ascii="宋体" w:hAnsi="宋体" w:cs="宋体"/>
                <w:sz w:val="21"/>
              </w:rPr>
              <w:t>80 套</w:t>
            </w:r>
          </w:p>
        </w:tc>
        <w:tc>
          <w:tcPr>
            <w:tcW w:w="3587" w:type="dxa"/>
            <w:vAlign w:val="center"/>
          </w:tcPr>
          <w:p>
            <w:pPr>
              <w:spacing w:line="240" w:lineRule="auto"/>
              <w:ind w:firstLine="0"/>
              <w:jc w:val="center"/>
              <w:rPr>
                <w:rFonts w:ascii="宋体" w:hAnsi="宋体" w:cs="宋体"/>
                <w:sz w:val="21"/>
              </w:rPr>
            </w:pPr>
            <w:r>
              <w:rPr>
                <w:rFonts w:hint="eastAsia" w:ascii="宋体" w:hAnsi="宋体" w:cs="宋体"/>
                <w:sz w:val="21"/>
              </w:rPr>
              <w:t>连体式桌椅</w:t>
            </w:r>
          </w:p>
        </w:tc>
      </w:tr>
    </w:tbl>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2.校内实训基地装备要求</w:t>
      </w:r>
    </w:p>
    <w:tbl>
      <w:tblPr>
        <w:tblStyle w:val="19"/>
        <w:tblW w:w="9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557"/>
        <w:gridCol w:w="2745"/>
        <w:gridCol w:w="217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1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序号</w:t>
            </w:r>
          </w:p>
        </w:tc>
        <w:tc>
          <w:tcPr>
            <w:tcW w:w="1557"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名称</w:t>
            </w:r>
          </w:p>
        </w:tc>
        <w:tc>
          <w:tcPr>
            <w:tcW w:w="274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主要设备</w:t>
            </w:r>
          </w:p>
        </w:tc>
        <w:tc>
          <w:tcPr>
            <w:tcW w:w="2175"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主要功能</w:t>
            </w:r>
          </w:p>
        </w:tc>
        <w:tc>
          <w:tcPr>
            <w:tcW w:w="2766" w:type="dxa"/>
            <w:vAlign w:val="center"/>
          </w:tcPr>
          <w:p>
            <w:pPr>
              <w:spacing w:line="240" w:lineRule="auto"/>
              <w:ind w:firstLine="0"/>
              <w:jc w:val="center"/>
              <w:rPr>
                <w:rFonts w:ascii="黑体" w:hAnsi="黑体" w:eastAsia="黑体" w:cs="黑体"/>
                <w:szCs w:val="24"/>
              </w:rPr>
            </w:pPr>
            <w:r>
              <w:rPr>
                <w:rFonts w:hint="eastAsia" w:ascii="黑体" w:hAnsi="黑体" w:eastAsia="黑体" w:cs="黑体"/>
                <w:szCs w:val="24"/>
              </w:rPr>
              <w:t>实训课目的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1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1</w:t>
            </w:r>
          </w:p>
        </w:tc>
        <w:tc>
          <w:tcPr>
            <w:tcW w:w="1557"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大数据实训室</w:t>
            </w:r>
          </w:p>
        </w:tc>
        <w:tc>
          <w:tcPr>
            <w:tcW w:w="274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大数据实训平台主流配置计算机 80 台套</w:t>
            </w:r>
          </w:p>
        </w:tc>
        <w:tc>
          <w:tcPr>
            <w:tcW w:w="217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课程的实训、项目综合实训</w:t>
            </w:r>
          </w:p>
        </w:tc>
        <w:tc>
          <w:tcPr>
            <w:tcW w:w="2766"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大数据存储、分析能力</w:t>
            </w:r>
          </w:p>
          <w:p>
            <w:pPr>
              <w:spacing w:line="240" w:lineRule="auto"/>
              <w:ind w:firstLine="0"/>
              <w:jc w:val="center"/>
              <w:rPr>
                <w:rFonts w:ascii="仿宋" w:hAnsi="仿宋" w:eastAsia="仿宋" w:cs="仿宋"/>
                <w:sz w:val="21"/>
              </w:rPr>
            </w:pPr>
            <w:r>
              <w:rPr>
                <w:rFonts w:hint="eastAsia" w:ascii="仿宋" w:hAnsi="仿宋" w:eastAsia="仿宋" w:cs="仿宋"/>
                <w:sz w:val="21"/>
              </w:rPr>
              <w:t>大数据获取、清洗能力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1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2</w:t>
            </w:r>
          </w:p>
        </w:tc>
        <w:tc>
          <w:tcPr>
            <w:tcW w:w="1557"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大数据编程开发实训室</w:t>
            </w:r>
          </w:p>
        </w:tc>
        <w:tc>
          <w:tcPr>
            <w:tcW w:w="274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主流配置计算机 80 台套</w:t>
            </w:r>
          </w:p>
        </w:tc>
        <w:tc>
          <w:tcPr>
            <w:tcW w:w="217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完成数据库、数据可视化、项目综合实训</w:t>
            </w:r>
          </w:p>
        </w:tc>
        <w:tc>
          <w:tcPr>
            <w:tcW w:w="2766"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大数据编程开发能力</w:t>
            </w:r>
          </w:p>
          <w:p>
            <w:pPr>
              <w:spacing w:line="240" w:lineRule="auto"/>
              <w:ind w:firstLine="0"/>
              <w:jc w:val="center"/>
              <w:rPr>
                <w:rFonts w:ascii="仿宋" w:hAnsi="仿宋" w:eastAsia="仿宋" w:cs="仿宋"/>
                <w:sz w:val="21"/>
              </w:rPr>
            </w:pPr>
            <w:r>
              <w:rPr>
                <w:rFonts w:hint="eastAsia" w:ascii="仿宋" w:hAnsi="仿宋" w:eastAsia="仿宋" w:cs="仿宋"/>
                <w:sz w:val="21"/>
              </w:rPr>
              <w:t>数据可视化能力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715" w:type="dxa"/>
            <w:vAlign w:val="center"/>
          </w:tcPr>
          <w:p>
            <w:pPr>
              <w:spacing w:line="240" w:lineRule="auto"/>
              <w:ind w:firstLine="210" w:firstLineChars="100"/>
              <w:rPr>
                <w:rFonts w:ascii="仿宋" w:hAnsi="仿宋" w:eastAsia="仿宋" w:cs="仿宋"/>
                <w:sz w:val="21"/>
              </w:rPr>
            </w:pPr>
            <w:r>
              <w:rPr>
                <w:rFonts w:hint="eastAsia" w:ascii="仿宋" w:hAnsi="仿宋" w:eastAsia="仿宋" w:cs="仿宋"/>
                <w:sz w:val="21"/>
              </w:rPr>
              <w:t>3</w:t>
            </w:r>
          </w:p>
        </w:tc>
        <w:tc>
          <w:tcPr>
            <w:tcW w:w="1557"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大数据基础实训室</w:t>
            </w:r>
          </w:p>
        </w:tc>
        <w:tc>
          <w:tcPr>
            <w:tcW w:w="274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云创大数据实训 平台服务器主流配置计算机8台套</w:t>
            </w:r>
          </w:p>
        </w:tc>
        <w:tc>
          <w:tcPr>
            <w:tcW w:w="2175"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大数据子项目实训、项目综合实训</w:t>
            </w:r>
          </w:p>
        </w:tc>
        <w:tc>
          <w:tcPr>
            <w:tcW w:w="2766" w:type="dxa"/>
            <w:vAlign w:val="center"/>
          </w:tcPr>
          <w:p>
            <w:pPr>
              <w:spacing w:line="240" w:lineRule="auto"/>
              <w:ind w:firstLine="0"/>
              <w:jc w:val="center"/>
              <w:rPr>
                <w:rFonts w:ascii="仿宋" w:hAnsi="仿宋" w:eastAsia="仿宋" w:cs="仿宋"/>
                <w:sz w:val="21"/>
              </w:rPr>
            </w:pPr>
            <w:r>
              <w:rPr>
                <w:rFonts w:hint="eastAsia" w:ascii="仿宋" w:hAnsi="仿宋" w:eastAsia="仿宋" w:cs="仿宋"/>
                <w:sz w:val="21"/>
              </w:rPr>
              <w:t>大数据采集、预处</w:t>
            </w:r>
          </w:p>
          <w:p>
            <w:pPr>
              <w:spacing w:line="240" w:lineRule="auto"/>
              <w:ind w:firstLine="0"/>
              <w:jc w:val="center"/>
              <w:rPr>
                <w:rFonts w:ascii="仿宋" w:hAnsi="仿宋" w:eastAsia="仿宋" w:cs="仿宋"/>
                <w:sz w:val="21"/>
              </w:rPr>
            </w:pPr>
            <w:r>
              <w:rPr>
                <w:rFonts w:hint="eastAsia" w:ascii="仿宋" w:hAnsi="仿宋" w:eastAsia="仿宋" w:cs="仿宋"/>
                <w:sz w:val="21"/>
              </w:rPr>
              <w:t>理、分析、展示以及</w:t>
            </w:r>
          </w:p>
          <w:p>
            <w:pPr>
              <w:spacing w:line="240" w:lineRule="auto"/>
              <w:ind w:firstLine="0"/>
              <w:jc w:val="center"/>
              <w:rPr>
                <w:rFonts w:ascii="仿宋" w:hAnsi="仿宋" w:eastAsia="仿宋" w:cs="仿宋"/>
                <w:sz w:val="21"/>
              </w:rPr>
            </w:pPr>
            <w:r>
              <w:rPr>
                <w:rFonts w:hint="eastAsia" w:ascii="仿宋" w:hAnsi="仿宋" w:eastAsia="仿宋" w:cs="仿宋"/>
                <w:sz w:val="21"/>
              </w:rPr>
              <w:t>大数据分析报告书写</w:t>
            </w:r>
          </w:p>
        </w:tc>
      </w:tr>
    </w:tbl>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3.校外实训基地应具备的条件：</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大数据技术应用专业与区域内行业企业深度合作，现有江苏杰士德精密工业有限公司、达闼科技（北京）有限公司、科大讯飞科技公司、华为技术有限公司、江苏山石网科等 9 个稳定的教学实训基地。</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楷体" w:hAnsi="楷体" w:eastAsia="楷体" w:cs="楷体"/>
          <w:sz w:val="30"/>
          <w:szCs w:val="30"/>
        </w:rPr>
      </w:pPr>
      <w:r>
        <w:rPr>
          <w:rFonts w:hint="eastAsia" w:ascii="楷体" w:hAnsi="楷体" w:eastAsia="楷体" w:cs="楷体"/>
          <w:sz w:val="30"/>
          <w:szCs w:val="30"/>
        </w:rPr>
        <w:t>（三）教学资源</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本专业结合课程特色，多渠道开展校企合作、工学结合的教材开发,鼓励教师编写课程讲义、开发相关配套课程资源，并在此基础上形成数字化课程同步网站。以专业为单位建立并及时更新专业教学资源库，专业教学资源库内容包括：教学设计文件、电子教材、教学课件、典型案例、政策法规、音视频文件、动画库、习题与试题库、职业资格考试信息、专业图片库等；配备与专业教学相关的图书资料、电子杂志等相关的学习辅助性资源，建立校园网络信息系统，保证教师与学生可通过校园网络即时获取上述各项教学资源并可通过网络利用教学及实训软件开展备课、学习、实训等教学活动。</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楷体" w:hAnsi="楷体" w:eastAsia="楷体" w:cs="楷体"/>
          <w:sz w:val="30"/>
          <w:szCs w:val="30"/>
        </w:rPr>
      </w:pPr>
      <w:r>
        <w:rPr>
          <w:rFonts w:hint="eastAsia" w:ascii="楷体" w:hAnsi="楷体" w:eastAsia="楷体" w:cs="楷体"/>
          <w:sz w:val="30"/>
          <w:szCs w:val="30"/>
        </w:rPr>
        <w:t>（四）教学方法</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“以学生为中心”，根据学生特点，激发学生学习兴趣；实行任务驱动、项目导向等多种形式的“做中学、做中教”教学模式。</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专业课程采用现场教学法，实践教学法等。</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 xml:space="preserve">1.根据任务驱动、职业导入、职业岗位、职业拓展的逻辑线索构建本专业核心课程体系，可实现课程体系由学科体系到工作体系的转变。 </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2.以学生为中心，依循“学习项目→学习任务→技能训练”的课程实训模式，来设计和开发专业核心课程体系，是实现职业技术人才培养的有效途径。</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3.在职业导入过程课程中，通过系列小巧实用的技能训练，让学生在专业知识启蒙的同时，掌握基本技能、建立专业信心、培育职业情感、转换职业角色。</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4.创建融“教、学、做”于一体的教学模式，教师的“教”（点拨、归纳、协助排除难题）和学生的“学与做”（项目操作），能有机融入在项目训练之中。</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5.教学内容紧跟行业的实际问题与发展需要，教学过程强调“以学生为主体，注重能力培养，解决实际问题，讲究团队协作”，通过大量的项目和小组讨论，启发学生“习知识、练技能，重运用”，着力培养学生在工作中解决实际问题的能力。</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楷体" w:hAnsi="楷体" w:eastAsia="楷体" w:cs="楷体"/>
          <w:sz w:val="30"/>
          <w:szCs w:val="30"/>
        </w:rPr>
      </w:pPr>
      <w:r>
        <w:rPr>
          <w:rFonts w:hint="eastAsia" w:ascii="楷体" w:hAnsi="楷体" w:eastAsia="楷体" w:cs="楷体"/>
          <w:sz w:val="30"/>
          <w:szCs w:val="30"/>
        </w:rPr>
        <w:t>（五）学习评价</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实行期末考试与过程性考核相结合的方式，开展学生学习评价。采用笔试、口试答辩、现场测试、操作测试、综合作业、项目评审等各种方式，以达到全面衡量和控制教学质量的目的。加大平时成绩和分段考试成绩在总评成绩中比重，将平时考核与期末考核结合，使学生成绩的评定更趋合理，努力提高学生学习的自主性和自觉性。</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ab/>
      </w:r>
      <w:r>
        <w:rPr>
          <w:rFonts w:hint="eastAsia" w:ascii="仿宋" w:hAnsi="仿宋" w:eastAsia="仿宋" w:cs="仿宋"/>
          <w:sz w:val="30"/>
          <w:szCs w:val="30"/>
        </w:rPr>
        <w:t>根据学分银行实施办法，学生可用职业资格证书申请相应课程的免修，以调动了学生课外主动学习的积极性。</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楷体" w:hAnsi="楷体" w:eastAsia="楷体" w:cs="楷体"/>
          <w:sz w:val="30"/>
          <w:szCs w:val="30"/>
        </w:rPr>
      </w:pPr>
      <w:r>
        <w:rPr>
          <w:rFonts w:hint="eastAsia" w:ascii="楷体" w:hAnsi="楷体" w:eastAsia="楷体" w:cs="楷体"/>
          <w:sz w:val="30"/>
          <w:szCs w:val="30"/>
        </w:rPr>
        <w:t>（六）质量管理</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邀请3-4位教学经验丰富的老教师成立教学质量监督、控制及评价中心，专门对教学质量进行研究、评价。同时负责提出一些有建设性的教学管理措施，并对教师的日常教学质量展开抽查及评价，这样有助于及时发现教师教学过程中的一些不足之处，便于及时采取有效措施来解决教学问题。</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对教学质量实行量化考评，由教务科制定大数据技术课程教学质量考评方法，对教师的日常课堂教学以及实践指导进行考察，加强每一个教学环节教学质量的监督与评价，然后根据教师的教学效果实施量化考评，以促进教师团队综合教学能力的不断提高，增强大数据技术专业的师资力量。</w:t>
      </w: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autoSpaceDE/>
        <w:autoSpaceDN/>
        <w:bidi w:val="0"/>
        <w:adjustRightInd w:val="0"/>
        <w:snapToGrid w:val="0"/>
        <w:spacing w:line="540" w:lineRule="exact"/>
        <w:ind w:firstLine="600" w:firstLineChars="200"/>
        <w:textAlignment w:val="auto"/>
        <w:rPr>
          <w:rFonts w:eastAsia="黑体"/>
          <w:sz w:val="30"/>
          <w:szCs w:val="30"/>
        </w:rPr>
      </w:pPr>
      <w:r>
        <w:rPr>
          <w:rFonts w:hint="eastAsia" w:ascii="黑体" w:hAnsi="黑体" w:eastAsia="黑体"/>
          <w:sz w:val="30"/>
          <w:szCs w:val="30"/>
        </w:rPr>
        <w:t>九、毕业要求</w:t>
      </w:r>
    </w:p>
    <w:p>
      <w:pPr>
        <w:spacing w:line="560" w:lineRule="exact"/>
        <w:ind w:firstLine="600" w:firstLineChars="200"/>
        <w:rPr>
          <w:rFonts w:eastAsia="黑体"/>
        </w:rPr>
      </w:pPr>
      <w:r>
        <w:rPr>
          <w:rFonts w:hint="eastAsia" w:ascii="仿宋" w:hAnsi="仿宋" w:eastAsia="仿宋" w:cs="仿宋"/>
          <w:sz w:val="30"/>
          <w:szCs w:val="30"/>
        </w:rPr>
        <w:t>毕业要求是学生通过规定年限的学习，须修满的专业人才培养方案所规定的学时，完成规定的教学活动，毕业时应达到的素质、知识和能力等方面要求。</w:t>
      </w:r>
    </w:p>
    <w:p>
      <w:pPr>
        <w:ind w:firstLine="460" w:firstLineChars="192"/>
        <w:rPr>
          <w:szCs w:val="24"/>
        </w:rPr>
      </w:pPr>
    </w:p>
    <w:sectPr>
      <w:footerReference r:id="rId9" w:type="default"/>
      <w:footerReference r:id="rId10" w:type="even"/>
      <w:pgSz w:w="11907" w:h="16840"/>
      <w:pgMar w:top="1134" w:right="1134" w:bottom="1134" w:left="1134" w:header="851" w:footer="1247" w:gutter="0"/>
      <w:pgNumType w:start="1"/>
      <w:cols w:space="720" w:num="1"/>
      <w:docGrid w:type="linesAndChars" w:linePitch="4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大标宋_GBK">
    <w:altName w:val="黑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大黑_GBK">
    <w:altName w:val="黑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Viner Hand ITC">
    <w:panose1 w:val="03070502030502020203"/>
    <w:charset w:val="00"/>
    <w:family w:val="script"/>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MS PGothic">
    <w:panose1 w:val="020B0600070205080204"/>
    <w:charset w:val="80"/>
    <w:family w:val="auto"/>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233C5B"/>
    <w:multiLevelType w:val="singleLevel"/>
    <w:tmpl w:val="DC233C5B"/>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